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8FBAB" w14:textId="77777777" w:rsidR="00E36A3D" w:rsidRPr="005F1E27" w:rsidRDefault="00E36A3D" w:rsidP="00E36A3D">
      <w:pPr>
        <w:pStyle w:val="Heading1"/>
        <w:spacing w:after="240"/>
        <w:jc w:val="both"/>
        <w:rPr>
          <w:rFonts w:ascii="Perpetua" w:hAnsi="Perpetua"/>
          <w:b/>
          <w:color w:val="auto"/>
          <w:sz w:val="40"/>
          <w:lang w:val="sq-AL"/>
        </w:rPr>
      </w:pPr>
      <w:bookmarkStart w:id="0" w:name="_Toc442780607"/>
      <w:bookmarkStart w:id="1" w:name="_Toc442780606"/>
      <w:bookmarkStart w:id="2" w:name="_Toc443399182"/>
      <w:bookmarkStart w:id="3" w:name="_Toc443399183"/>
      <w:bookmarkStart w:id="4" w:name="_Toc442775075"/>
      <w:bookmarkStart w:id="5" w:name="_Toc442777440"/>
      <w:bookmarkStart w:id="6" w:name="_Toc442780605"/>
      <w:bookmarkStart w:id="7" w:name="_Toc442780830"/>
      <w:bookmarkStart w:id="8" w:name="_Toc442784932"/>
      <w:bookmarkStart w:id="9" w:name="_Toc442785362"/>
      <w:bookmarkStart w:id="10" w:name="_Toc442785426"/>
      <w:bookmarkStart w:id="11" w:name="_Toc442785514"/>
      <w:bookmarkStart w:id="12" w:name="_Toc442786953"/>
      <w:bookmarkStart w:id="13" w:name="_Toc442793779"/>
      <w:bookmarkStart w:id="14" w:name="_Toc442797042"/>
      <w:bookmarkStart w:id="15" w:name="_Toc443395910"/>
      <w:bookmarkStart w:id="16" w:name="_Toc443399053"/>
      <w:bookmarkStart w:id="17" w:name="_Toc443399181"/>
      <w:bookmarkStart w:id="18" w:name="_Toc487804052"/>
      <w:bookmarkEnd w:id="0"/>
      <w:r w:rsidRPr="005F1E27">
        <w:rPr>
          <w:rFonts w:ascii="Calibri" w:hAnsi="Calibri" w:cs="Calibri"/>
          <w:noProof/>
          <w:lang w:eastAsia="en-GB"/>
        </w:rPr>
        <w:drawing>
          <wp:anchor distT="0" distB="0" distL="114300" distR="114300" simplePos="0" relativeHeight="251667456" behindDoc="0" locked="0" layoutInCell="1" allowOverlap="1" wp14:anchorId="55DAB202" wp14:editId="41EBE09A">
            <wp:simplePos x="0" y="0"/>
            <wp:positionH relativeFrom="margin">
              <wp:align>center</wp:align>
            </wp:positionH>
            <wp:positionV relativeFrom="margin">
              <wp:posOffset>-408452</wp:posOffset>
            </wp:positionV>
            <wp:extent cx="611505" cy="914400"/>
            <wp:effectExtent l="0" t="0" r="0" b="0"/>
            <wp:wrapSquare wrapText="bothSides"/>
            <wp:docPr id="45" name="Picture 45" descr="http://www.qarkushkoder.org/foto/stemazyrt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qarkushkoder.org/foto/stemazyrtare.gif"/>
                    <pic:cNvPicPr>
                      <a:picLocks noChangeAspect="1" noChangeArrowheads="1"/>
                    </pic:cNvPicPr>
                  </pic:nvPicPr>
                  <pic:blipFill>
                    <a:blip r:embed="rId8" cstate="print"/>
                    <a:srcRect/>
                    <a:stretch>
                      <a:fillRect/>
                    </a:stretch>
                  </pic:blipFill>
                  <pic:spPr bwMode="auto">
                    <a:xfrm>
                      <a:off x="0" y="0"/>
                      <a:ext cx="611505" cy="914400"/>
                    </a:xfrm>
                    <a:prstGeom prst="rect">
                      <a:avLst/>
                    </a:prstGeom>
                    <a:noFill/>
                    <a:ln w="9525">
                      <a:noFill/>
                      <a:miter lim="800000"/>
                      <a:headEnd/>
                      <a:tailEnd/>
                    </a:ln>
                  </pic:spPr>
                </pic:pic>
              </a:graphicData>
            </a:graphic>
          </wp:anchor>
        </w:drawing>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71DB9CAB" w14:textId="67389604" w:rsidR="00E36A3D" w:rsidRPr="005F1E27" w:rsidRDefault="00E36A3D" w:rsidP="00E36A3D">
      <w:pPr>
        <w:jc w:val="center"/>
        <w:rPr>
          <w:rFonts w:ascii="Perpetua" w:hAnsi="Perpetua"/>
          <w:sz w:val="32"/>
          <w:lang w:val="sq-AL"/>
        </w:rPr>
      </w:pPr>
      <w:r w:rsidRPr="005F1E27">
        <w:rPr>
          <w:rFonts w:ascii="Perpetua" w:hAnsi="Perpetua"/>
          <w:sz w:val="32"/>
          <w:lang w:val="sq-AL"/>
        </w:rPr>
        <w:t>REPUBLI</w:t>
      </w:r>
      <w:r>
        <w:rPr>
          <w:rFonts w:ascii="Perpetua" w:hAnsi="Perpetua"/>
          <w:sz w:val="32"/>
          <w:lang w:val="sq-AL"/>
        </w:rPr>
        <w:t>C OF ALBANIA</w:t>
      </w:r>
    </w:p>
    <w:p w14:paraId="11164C40" w14:textId="77777777" w:rsidR="00E36A3D" w:rsidRPr="005F1E27" w:rsidRDefault="00E36A3D" w:rsidP="00E36A3D">
      <w:pPr>
        <w:jc w:val="both"/>
        <w:rPr>
          <w:rFonts w:ascii="Perpetua" w:hAnsi="Perpetua"/>
          <w:lang w:val="sq-AL"/>
        </w:rPr>
      </w:pPr>
    </w:p>
    <w:p w14:paraId="1F77FE1B" w14:textId="77777777" w:rsidR="00E36A3D" w:rsidRPr="005F1E27" w:rsidRDefault="00E36A3D" w:rsidP="00E36A3D">
      <w:pPr>
        <w:jc w:val="both"/>
        <w:rPr>
          <w:rFonts w:ascii="Perpetua" w:hAnsi="Perpetua"/>
          <w:lang w:val="sq-AL"/>
        </w:rPr>
      </w:pPr>
    </w:p>
    <w:p w14:paraId="595C16E4" w14:textId="77777777" w:rsidR="00E36A3D" w:rsidRPr="005F1E27" w:rsidRDefault="00E36A3D" w:rsidP="00E36A3D">
      <w:pPr>
        <w:jc w:val="both"/>
        <w:rPr>
          <w:rFonts w:ascii="Perpetua" w:hAnsi="Perpetua"/>
          <w:lang w:val="sq-AL"/>
        </w:rPr>
      </w:pPr>
    </w:p>
    <w:p w14:paraId="3CE714CD" w14:textId="77777777" w:rsidR="00E36A3D" w:rsidRPr="005F1E27" w:rsidRDefault="00E36A3D" w:rsidP="00E36A3D">
      <w:pPr>
        <w:jc w:val="both"/>
        <w:rPr>
          <w:rFonts w:ascii="Perpetua" w:hAnsi="Perpetua"/>
          <w:lang w:val="sq-AL"/>
        </w:rPr>
      </w:pPr>
    </w:p>
    <w:p w14:paraId="0815CC80" w14:textId="77777777" w:rsidR="00E36A3D" w:rsidRPr="005F1E27" w:rsidRDefault="00E36A3D" w:rsidP="00E36A3D">
      <w:pPr>
        <w:jc w:val="both"/>
        <w:rPr>
          <w:rFonts w:ascii="Perpetua" w:hAnsi="Perpetua"/>
          <w:b/>
          <w:sz w:val="72"/>
          <w:u w:val="double" w:color="FF0000"/>
          <w:lang w:val="sq-AL"/>
        </w:rPr>
      </w:pPr>
      <w:r w:rsidRPr="005F1E27">
        <w:rPr>
          <w:rFonts w:ascii="Perpetua" w:hAnsi="Perpetua"/>
          <w:b/>
          <w:noProof/>
          <w:sz w:val="40"/>
          <w:lang w:eastAsia="en-GB"/>
        </w:rPr>
        <w:drawing>
          <wp:anchor distT="0" distB="0" distL="114300" distR="114300" simplePos="0" relativeHeight="251666432" behindDoc="0" locked="0" layoutInCell="1" allowOverlap="1" wp14:anchorId="111440AD" wp14:editId="5101E053">
            <wp:simplePos x="0" y="0"/>
            <wp:positionH relativeFrom="margin">
              <wp:posOffset>-576580</wp:posOffset>
            </wp:positionH>
            <wp:positionV relativeFrom="paragraph">
              <wp:posOffset>434340</wp:posOffset>
            </wp:positionV>
            <wp:extent cx="3451225" cy="1327150"/>
            <wp:effectExtent l="0" t="0" r="0" b="6350"/>
            <wp:wrapSquare wrapText="bothSides"/>
            <wp:docPr id="18" name="Picture 18" descr="C:\Users\mblushi\Desktop\Martin\Logo ASD\Logo e 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ushi\Desktop\Martin\Logo ASD\Logo e re\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9" t="11113" r="8252" b="16889"/>
                    <a:stretch/>
                  </pic:blipFill>
                  <pic:spPr bwMode="auto">
                    <a:xfrm>
                      <a:off x="0" y="0"/>
                      <a:ext cx="3451225" cy="132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2FDAD" w14:textId="6F68D7E7" w:rsidR="00E36A3D" w:rsidRPr="005F1E27" w:rsidRDefault="00E36A3D" w:rsidP="00E36A3D">
      <w:pPr>
        <w:jc w:val="right"/>
        <w:rPr>
          <w:rFonts w:ascii="Perpetua" w:hAnsi="Perpetua"/>
          <w:sz w:val="36"/>
          <w:u w:val="double" w:color="FF0000"/>
          <w:lang w:val="sq-AL"/>
        </w:rPr>
        <w:sectPr w:rsidR="00E36A3D" w:rsidRPr="005F1E27" w:rsidSect="006C0329">
          <w:headerReference w:type="default" r:id="rId10"/>
          <w:footerReference w:type="default" r:id="rId11"/>
          <w:pgSz w:w="11906" w:h="16838"/>
          <w:pgMar w:top="851" w:right="1440" w:bottom="1440" w:left="1440" w:header="708" w:footer="708" w:gutter="0"/>
          <w:cols w:space="708"/>
          <w:docGrid w:linePitch="360"/>
        </w:sectPr>
      </w:pPr>
      <w:r>
        <w:rPr>
          <w:rFonts w:ascii="Perpetua" w:hAnsi="Perpetua"/>
          <w:b/>
          <w:sz w:val="56"/>
          <w:u w:val="double" w:color="FF0000"/>
          <w:lang w:val="sq-AL"/>
        </w:rPr>
        <w:t xml:space="preserve">Annual </w:t>
      </w:r>
      <w:r w:rsidRPr="005F1E27">
        <w:rPr>
          <w:rFonts w:ascii="Perpetua" w:hAnsi="Perpetua"/>
          <w:b/>
          <w:sz w:val="56"/>
          <w:u w:val="double" w:color="FF0000"/>
          <w:lang w:val="sq-AL"/>
        </w:rPr>
        <w:t>R</w:t>
      </w:r>
      <w:r>
        <w:rPr>
          <w:rFonts w:ascii="Perpetua" w:hAnsi="Perpetua"/>
          <w:b/>
          <w:sz w:val="56"/>
          <w:u w:val="double" w:color="FF0000"/>
          <w:lang w:val="sq-AL"/>
        </w:rPr>
        <w:t>e</w:t>
      </w:r>
      <w:r w:rsidRPr="005F1E27">
        <w:rPr>
          <w:rFonts w:ascii="Perpetua" w:hAnsi="Perpetua"/>
          <w:b/>
          <w:sz w:val="56"/>
          <w:u w:val="double" w:color="FF0000"/>
          <w:lang w:val="sq-AL"/>
        </w:rPr>
        <w:t>port 2015</w:t>
      </w:r>
    </w:p>
    <w:bookmarkStart w:id="19" w:name="_GoBack" w:displacedByCustomXml="next"/>
    <w:sdt>
      <w:sdtPr>
        <w:id w:val="-75205933"/>
        <w:docPartObj>
          <w:docPartGallery w:val="Table of Contents"/>
          <w:docPartUnique/>
        </w:docPartObj>
      </w:sdtPr>
      <w:sdtEndPr>
        <w:rPr>
          <w:rFonts w:ascii="Calibri" w:eastAsiaTheme="minorHAnsi" w:hAnsi="Calibri" w:cs="Times New Roman"/>
          <w:b/>
          <w:bCs/>
          <w:noProof/>
          <w:color w:val="auto"/>
          <w:sz w:val="22"/>
          <w:szCs w:val="22"/>
          <w:lang w:val="en-GB"/>
        </w:rPr>
      </w:sdtEndPr>
      <w:sdtContent>
        <w:p w14:paraId="6EB5DFF1" w14:textId="1C72DE32" w:rsidR="00E36A3D" w:rsidRDefault="00E36A3D">
          <w:pPr>
            <w:pStyle w:val="TOCHeading"/>
          </w:pPr>
          <w:r>
            <w:t>Contents</w:t>
          </w:r>
        </w:p>
        <w:p w14:paraId="0BFD8FEB" w14:textId="77777777" w:rsidR="00E36A3D" w:rsidRDefault="00E36A3D">
          <w:pPr>
            <w:pStyle w:val="TOC1"/>
            <w:tabs>
              <w:tab w:val="right" w:leader="dot" w:pos="9016"/>
            </w:tabs>
            <w:rPr>
              <w:noProof/>
            </w:rPr>
          </w:pPr>
          <w:r>
            <w:fldChar w:fldCharType="begin"/>
          </w:r>
          <w:r>
            <w:instrText xml:space="preserve"> TOC \o "1-3" \h \z \u </w:instrText>
          </w:r>
          <w:r>
            <w:fldChar w:fldCharType="separate"/>
          </w:r>
          <w:hyperlink w:anchor="_Toc487804052" w:history="1">
            <w:r>
              <w:rPr>
                <w:noProof/>
                <w:webHidden/>
              </w:rPr>
              <w:tab/>
            </w:r>
            <w:r>
              <w:rPr>
                <w:noProof/>
                <w:webHidden/>
              </w:rPr>
              <w:fldChar w:fldCharType="begin"/>
            </w:r>
            <w:r>
              <w:rPr>
                <w:noProof/>
                <w:webHidden/>
              </w:rPr>
              <w:instrText xml:space="preserve"> PAGEREF _Toc487804052 \h </w:instrText>
            </w:r>
            <w:r>
              <w:rPr>
                <w:noProof/>
                <w:webHidden/>
              </w:rPr>
            </w:r>
            <w:r>
              <w:rPr>
                <w:noProof/>
                <w:webHidden/>
              </w:rPr>
              <w:fldChar w:fldCharType="separate"/>
            </w:r>
            <w:r>
              <w:rPr>
                <w:noProof/>
                <w:webHidden/>
              </w:rPr>
              <w:t>1</w:t>
            </w:r>
            <w:r>
              <w:rPr>
                <w:noProof/>
                <w:webHidden/>
              </w:rPr>
              <w:fldChar w:fldCharType="end"/>
            </w:r>
          </w:hyperlink>
        </w:p>
        <w:p w14:paraId="1986F1C8" w14:textId="77777777" w:rsidR="00E36A3D" w:rsidRDefault="00E36A3D">
          <w:pPr>
            <w:pStyle w:val="TOC1"/>
            <w:tabs>
              <w:tab w:val="right" w:leader="dot" w:pos="9016"/>
            </w:tabs>
            <w:rPr>
              <w:noProof/>
            </w:rPr>
          </w:pPr>
          <w:hyperlink w:anchor="_Toc487804053" w:history="1">
            <w:r w:rsidRPr="00AD512E">
              <w:rPr>
                <w:rStyle w:val="Hyperlink"/>
                <w:rFonts w:ascii="Perpetua" w:hAnsi="Perpetua"/>
                <w:b/>
                <w:noProof/>
              </w:rPr>
              <w:t xml:space="preserve">Section 1 - </w:t>
            </w:r>
            <w:r w:rsidRPr="00AD512E">
              <w:rPr>
                <w:rStyle w:val="Hyperlink"/>
                <w:rFonts w:ascii="Perpetua" w:hAnsi="Perpetua"/>
                <w:b/>
                <w:noProof/>
                <w:u w:color="FF0000"/>
              </w:rPr>
              <w:t>Introduction</w:t>
            </w:r>
            <w:r>
              <w:rPr>
                <w:noProof/>
                <w:webHidden/>
              </w:rPr>
              <w:tab/>
            </w:r>
            <w:r>
              <w:rPr>
                <w:noProof/>
                <w:webHidden/>
              </w:rPr>
              <w:fldChar w:fldCharType="begin"/>
            </w:r>
            <w:r>
              <w:rPr>
                <w:noProof/>
                <w:webHidden/>
              </w:rPr>
              <w:instrText xml:space="preserve"> PAGEREF _Toc487804053 \h </w:instrText>
            </w:r>
            <w:r>
              <w:rPr>
                <w:noProof/>
                <w:webHidden/>
              </w:rPr>
            </w:r>
            <w:r>
              <w:rPr>
                <w:noProof/>
                <w:webHidden/>
              </w:rPr>
              <w:fldChar w:fldCharType="separate"/>
            </w:r>
            <w:r>
              <w:rPr>
                <w:noProof/>
                <w:webHidden/>
              </w:rPr>
              <w:t>4</w:t>
            </w:r>
            <w:r>
              <w:rPr>
                <w:noProof/>
                <w:webHidden/>
              </w:rPr>
              <w:fldChar w:fldCharType="end"/>
            </w:r>
          </w:hyperlink>
        </w:p>
        <w:p w14:paraId="68F63D1A" w14:textId="77777777" w:rsidR="00E36A3D" w:rsidRDefault="00E36A3D">
          <w:pPr>
            <w:pStyle w:val="TOC2"/>
            <w:tabs>
              <w:tab w:val="left" w:pos="880"/>
              <w:tab w:val="right" w:leader="dot" w:pos="9016"/>
            </w:tabs>
            <w:rPr>
              <w:noProof/>
            </w:rPr>
          </w:pPr>
          <w:hyperlink w:anchor="_Toc487804054" w:history="1">
            <w:r w:rsidRPr="00AD512E">
              <w:rPr>
                <w:rStyle w:val="Hyperlink"/>
                <w:rFonts w:ascii="Perpetua" w:eastAsia="Times New Roman" w:hAnsi="Perpetua"/>
                <w:b/>
                <w:bCs/>
                <w:noProof/>
              </w:rPr>
              <w:t>1.1.</w:t>
            </w:r>
            <w:r>
              <w:rPr>
                <w:noProof/>
              </w:rPr>
              <w:tab/>
            </w:r>
            <w:r w:rsidRPr="00AD512E">
              <w:rPr>
                <w:rStyle w:val="Hyperlink"/>
                <w:rFonts w:ascii="Perpetua" w:eastAsia="Times New Roman" w:hAnsi="Perpetua"/>
                <w:b/>
                <w:bCs/>
                <w:noProof/>
              </w:rPr>
              <w:t>Message of the Chair of the Board of Directors and General Director</w:t>
            </w:r>
            <w:r>
              <w:rPr>
                <w:noProof/>
                <w:webHidden/>
              </w:rPr>
              <w:tab/>
            </w:r>
            <w:r>
              <w:rPr>
                <w:noProof/>
                <w:webHidden/>
              </w:rPr>
              <w:fldChar w:fldCharType="begin"/>
            </w:r>
            <w:r>
              <w:rPr>
                <w:noProof/>
                <w:webHidden/>
              </w:rPr>
              <w:instrText xml:space="preserve"> PAGEREF _Toc487804054 \h </w:instrText>
            </w:r>
            <w:r>
              <w:rPr>
                <w:noProof/>
                <w:webHidden/>
              </w:rPr>
            </w:r>
            <w:r>
              <w:rPr>
                <w:noProof/>
                <w:webHidden/>
              </w:rPr>
              <w:fldChar w:fldCharType="separate"/>
            </w:r>
            <w:r>
              <w:rPr>
                <w:noProof/>
                <w:webHidden/>
              </w:rPr>
              <w:t>4</w:t>
            </w:r>
            <w:r>
              <w:rPr>
                <w:noProof/>
                <w:webHidden/>
              </w:rPr>
              <w:fldChar w:fldCharType="end"/>
            </w:r>
          </w:hyperlink>
        </w:p>
        <w:p w14:paraId="4992F82B" w14:textId="77777777" w:rsidR="00E36A3D" w:rsidRDefault="00E36A3D">
          <w:pPr>
            <w:pStyle w:val="TOC2"/>
            <w:tabs>
              <w:tab w:val="left" w:pos="880"/>
              <w:tab w:val="right" w:leader="dot" w:pos="9016"/>
            </w:tabs>
            <w:rPr>
              <w:noProof/>
            </w:rPr>
          </w:pPr>
          <w:hyperlink w:anchor="_Toc487804055" w:history="1">
            <w:r w:rsidRPr="00AD512E">
              <w:rPr>
                <w:rStyle w:val="Hyperlink"/>
                <w:rFonts w:ascii="Perpetua" w:hAnsi="Perpetua"/>
                <w:b/>
                <w:noProof/>
              </w:rPr>
              <w:t>1.2.</w:t>
            </w:r>
            <w:r>
              <w:rPr>
                <w:noProof/>
              </w:rPr>
              <w:tab/>
            </w:r>
            <w:r w:rsidRPr="00AD512E">
              <w:rPr>
                <w:rStyle w:val="Hyperlink"/>
                <w:rFonts w:ascii="Perpetua" w:hAnsi="Perpetua"/>
                <w:b/>
                <w:noProof/>
              </w:rPr>
              <w:t>The Agency’s Profile</w:t>
            </w:r>
            <w:r>
              <w:rPr>
                <w:noProof/>
                <w:webHidden/>
              </w:rPr>
              <w:tab/>
            </w:r>
            <w:r>
              <w:rPr>
                <w:noProof/>
                <w:webHidden/>
              </w:rPr>
              <w:fldChar w:fldCharType="begin"/>
            </w:r>
            <w:r>
              <w:rPr>
                <w:noProof/>
                <w:webHidden/>
              </w:rPr>
              <w:instrText xml:space="preserve"> PAGEREF _Toc487804055 \h </w:instrText>
            </w:r>
            <w:r>
              <w:rPr>
                <w:noProof/>
                <w:webHidden/>
              </w:rPr>
            </w:r>
            <w:r>
              <w:rPr>
                <w:noProof/>
                <w:webHidden/>
              </w:rPr>
              <w:fldChar w:fldCharType="separate"/>
            </w:r>
            <w:r>
              <w:rPr>
                <w:noProof/>
                <w:webHidden/>
              </w:rPr>
              <w:t>6</w:t>
            </w:r>
            <w:r>
              <w:rPr>
                <w:noProof/>
                <w:webHidden/>
              </w:rPr>
              <w:fldChar w:fldCharType="end"/>
            </w:r>
          </w:hyperlink>
        </w:p>
        <w:p w14:paraId="26476EC7" w14:textId="77777777" w:rsidR="00E36A3D" w:rsidRDefault="00E36A3D">
          <w:pPr>
            <w:pStyle w:val="TOC1"/>
            <w:tabs>
              <w:tab w:val="right" w:leader="dot" w:pos="9016"/>
            </w:tabs>
            <w:rPr>
              <w:noProof/>
            </w:rPr>
          </w:pPr>
          <w:hyperlink w:anchor="_Toc487804056" w:history="1">
            <w:r w:rsidRPr="00AD512E">
              <w:rPr>
                <w:rStyle w:val="Hyperlink"/>
                <w:rFonts w:ascii="Perpetua" w:eastAsia="Times New Roman" w:hAnsi="Perpetua"/>
                <w:b/>
                <w:noProof/>
              </w:rPr>
              <w:t>Section 2 –</w:t>
            </w:r>
            <w:r w:rsidRPr="00AD512E">
              <w:rPr>
                <w:rStyle w:val="Hyperlink"/>
                <w:rFonts w:ascii="Perpetua" w:eastAsia="Times New Roman" w:hAnsi="Perpetua"/>
                <w:b/>
                <w:noProof/>
                <w:u w:color="FF0000"/>
              </w:rPr>
              <w:t>Strategic Plan 2015-2017 and main projects</w:t>
            </w:r>
            <w:r>
              <w:rPr>
                <w:noProof/>
                <w:webHidden/>
              </w:rPr>
              <w:tab/>
            </w:r>
            <w:r>
              <w:rPr>
                <w:noProof/>
                <w:webHidden/>
              </w:rPr>
              <w:fldChar w:fldCharType="begin"/>
            </w:r>
            <w:r>
              <w:rPr>
                <w:noProof/>
                <w:webHidden/>
              </w:rPr>
              <w:instrText xml:space="preserve"> PAGEREF _Toc487804056 \h </w:instrText>
            </w:r>
            <w:r>
              <w:rPr>
                <w:noProof/>
                <w:webHidden/>
              </w:rPr>
            </w:r>
            <w:r>
              <w:rPr>
                <w:noProof/>
                <w:webHidden/>
              </w:rPr>
              <w:fldChar w:fldCharType="separate"/>
            </w:r>
            <w:r>
              <w:rPr>
                <w:noProof/>
                <w:webHidden/>
              </w:rPr>
              <w:t>7</w:t>
            </w:r>
            <w:r>
              <w:rPr>
                <w:noProof/>
                <w:webHidden/>
              </w:rPr>
              <w:fldChar w:fldCharType="end"/>
            </w:r>
          </w:hyperlink>
        </w:p>
        <w:p w14:paraId="1D718403" w14:textId="77777777" w:rsidR="00E36A3D" w:rsidRDefault="00E36A3D">
          <w:pPr>
            <w:pStyle w:val="TOC2"/>
            <w:tabs>
              <w:tab w:val="left" w:pos="880"/>
              <w:tab w:val="right" w:leader="dot" w:pos="9016"/>
            </w:tabs>
            <w:rPr>
              <w:noProof/>
            </w:rPr>
          </w:pPr>
          <w:hyperlink w:anchor="_Toc487804057" w:history="1">
            <w:r w:rsidRPr="00AD512E">
              <w:rPr>
                <w:rStyle w:val="Hyperlink"/>
                <w:rFonts w:ascii="Perpetua" w:eastAsia="Times New Roman" w:hAnsi="Perpetua"/>
                <w:b/>
                <w:caps/>
                <w:noProof/>
              </w:rPr>
              <w:t>2.1.</w:t>
            </w:r>
            <w:r>
              <w:rPr>
                <w:noProof/>
              </w:rPr>
              <w:tab/>
            </w:r>
            <w:r w:rsidRPr="00AD512E">
              <w:rPr>
                <w:rStyle w:val="Hyperlink"/>
                <w:rFonts w:ascii="Perpetua" w:hAnsi="Perpetua"/>
                <w:b/>
                <w:noProof/>
              </w:rPr>
              <w:t>Strategic directions</w:t>
            </w:r>
            <w:r>
              <w:rPr>
                <w:noProof/>
                <w:webHidden/>
              </w:rPr>
              <w:tab/>
            </w:r>
            <w:r>
              <w:rPr>
                <w:noProof/>
                <w:webHidden/>
              </w:rPr>
              <w:fldChar w:fldCharType="begin"/>
            </w:r>
            <w:r>
              <w:rPr>
                <w:noProof/>
                <w:webHidden/>
              </w:rPr>
              <w:instrText xml:space="preserve"> PAGEREF _Toc487804057 \h </w:instrText>
            </w:r>
            <w:r>
              <w:rPr>
                <w:noProof/>
                <w:webHidden/>
              </w:rPr>
            </w:r>
            <w:r>
              <w:rPr>
                <w:noProof/>
                <w:webHidden/>
              </w:rPr>
              <w:fldChar w:fldCharType="separate"/>
            </w:r>
            <w:r>
              <w:rPr>
                <w:noProof/>
                <w:webHidden/>
              </w:rPr>
              <w:t>7</w:t>
            </w:r>
            <w:r>
              <w:rPr>
                <w:noProof/>
                <w:webHidden/>
              </w:rPr>
              <w:fldChar w:fldCharType="end"/>
            </w:r>
          </w:hyperlink>
        </w:p>
        <w:p w14:paraId="26E23804" w14:textId="77777777" w:rsidR="00E36A3D" w:rsidRDefault="00E36A3D">
          <w:pPr>
            <w:pStyle w:val="TOC2"/>
            <w:tabs>
              <w:tab w:val="left" w:pos="880"/>
              <w:tab w:val="right" w:leader="dot" w:pos="9016"/>
            </w:tabs>
            <w:rPr>
              <w:noProof/>
            </w:rPr>
          </w:pPr>
          <w:hyperlink w:anchor="_Toc487804058" w:history="1">
            <w:r w:rsidRPr="00AD512E">
              <w:rPr>
                <w:rStyle w:val="Hyperlink"/>
                <w:rFonts w:ascii="Perpetua" w:hAnsi="Perpetua"/>
                <w:b/>
                <w:noProof/>
                <w:lang w:val="en-US"/>
              </w:rPr>
              <w:t>2.2.</w:t>
            </w:r>
            <w:r>
              <w:rPr>
                <w:noProof/>
              </w:rPr>
              <w:tab/>
            </w:r>
            <w:r w:rsidRPr="00AD512E">
              <w:rPr>
                <w:rStyle w:val="Hyperlink"/>
                <w:rFonts w:ascii="Perpetua" w:hAnsi="Perpetua"/>
                <w:b/>
                <w:noProof/>
                <w:lang w:val="en-US"/>
              </w:rPr>
              <w:t>Strengthening professional efficiency</w:t>
            </w:r>
            <w:r w:rsidRPr="00AD512E">
              <w:rPr>
                <w:rStyle w:val="Hyperlink"/>
                <w:rFonts w:ascii="inherit" w:hAnsi="inherit"/>
                <w:noProof/>
                <w:lang w:val="en"/>
              </w:rPr>
              <w:t xml:space="preserve"> </w:t>
            </w:r>
            <w:r w:rsidRPr="00AD512E">
              <w:rPr>
                <w:rStyle w:val="Hyperlink"/>
                <w:rFonts w:ascii="Perpetua" w:hAnsi="Perpetua"/>
                <w:b/>
                <w:noProof/>
                <w:lang w:val="en-US"/>
              </w:rPr>
              <w:t>in case of a payout process</w:t>
            </w:r>
            <w:r>
              <w:rPr>
                <w:noProof/>
                <w:webHidden/>
              </w:rPr>
              <w:tab/>
            </w:r>
            <w:r>
              <w:rPr>
                <w:noProof/>
                <w:webHidden/>
              </w:rPr>
              <w:fldChar w:fldCharType="begin"/>
            </w:r>
            <w:r>
              <w:rPr>
                <w:noProof/>
                <w:webHidden/>
              </w:rPr>
              <w:instrText xml:space="preserve"> PAGEREF _Toc487804058 \h </w:instrText>
            </w:r>
            <w:r>
              <w:rPr>
                <w:noProof/>
                <w:webHidden/>
              </w:rPr>
            </w:r>
            <w:r>
              <w:rPr>
                <w:noProof/>
                <w:webHidden/>
              </w:rPr>
              <w:fldChar w:fldCharType="separate"/>
            </w:r>
            <w:r>
              <w:rPr>
                <w:noProof/>
                <w:webHidden/>
              </w:rPr>
              <w:t>8</w:t>
            </w:r>
            <w:r>
              <w:rPr>
                <w:noProof/>
                <w:webHidden/>
              </w:rPr>
              <w:fldChar w:fldCharType="end"/>
            </w:r>
          </w:hyperlink>
        </w:p>
        <w:p w14:paraId="4F8BAB86" w14:textId="77777777" w:rsidR="00E36A3D" w:rsidRDefault="00E36A3D">
          <w:pPr>
            <w:pStyle w:val="TOC3"/>
            <w:tabs>
              <w:tab w:val="left" w:pos="1320"/>
              <w:tab w:val="right" w:leader="dot" w:pos="9016"/>
            </w:tabs>
            <w:rPr>
              <w:noProof/>
            </w:rPr>
          </w:pPr>
          <w:hyperlink w:anchor="_Toc487804059" w:history="1">
            <w:r w:rsidRPr="00AD512E">
              <w:rPr>
                <w:rStyle w:val="Hyperlink"/>
                <w:rFonts w:ascii="Perpetua" w:hAnsi="Perpetua"/>
                <w:noProof/>
                <w:lang w:val="en-US"/>
              </w:rPr>
              <w:t>2.2.1.</w:t>
            </w:r>
            <w:r>
              <w:rPr>
                <w:noProof/>
              </w:rPr>
              <w:tab/>
            </w:r>
            <w:r w:rsidRPr="00AD512E">
              <w:rPr>
                <w:rStyle w:val="Hyperlink"/>
                <w:rFonts w:ascii="Perpetua" w:hAnsi="Perpetua"/>
                <w:noProof/>
                <w:lang w:val="en-US"/>
              </w:rPr>
              <w:t>Simulation exercise</w:t>
            </w:r>
            <w:r>
              <w:rPr>
                <w:noProof/>
                <w:webHidden/>
              </w:rPr>
              <w:tab/>
            </w:r>
            <w:r>
              <w:rPr>
                <w:noProof/>
                <w:webHidden/>
              </w:rPr>
              <w:fldChar w:fldCharType="begin"/>
            </w:r>
            <w:r>
              <w:rPr>
                <w:noProof/>
                <w:webHidden/>
              </w:rPr>
              <w:instrText xml:space="preserve"> PAGEREF _Toc487804059 \h </w:instrText>
            </w:r>
            <w:r>
              <w:rPr>
                <w:noProof/>
                <w:webHidden/>
              </w:rPr>
            </w:r>
            <w:r>
              <w:rPr>
                <w:noProof/>
                <w:webHidden/>
              </w:rPr>
              <w:fldChar w:fldCharType="separate"/>
            </w:r>
            <w:r>
              <w:rPr>
                <w:noProof/>
                <w:webHidden/>
              </w:rPr>
              <w:t>8</w:t>
            </w:r>
            <w:r>
              <w:rPr>
                <w:noProof/>
                <w:webHidden/>
              </w:rPr>
              <w:fldChar w:fldCharType="end"/>
            </w:r>
          </w:hyperlink>
        </w:p>
        <w:p w14:paraId="3C4004C1" w14:textId="77777777" w:rsidR="00E36A3D" w:rsidRDefault="00E36A3D">
          <w:pPr>
            <w:pStyle w:val="TOC3"/>
            <w:tabs>
              <w:tab w:val="left" w:pos="1320"/>
              <w:tab w:val="right" w:leader="dot" w:pos="9016"/>
            </w:tabs>
            <w:rPr>
              <w:noProof/>
            </w:rPr>
          </w:pPr>
          <w:hyperlink w:anchor="_Toc487804060" w:history="1">
            <w:r w:rsidRPr="00AD512E">
              <w:rPr>
                <w:rStyle w:val="Hyperlink"/>
                <w:rFonts w:ascii="Perpetua" w:hAnsi="Perpetua"/>
                <w:noProof/>
              </w:rPr>
              <w:t>2.2.2.</w:t>
            </w:r>
            <w:r>
              <w:rPr>
                <w:noProof/>
              </w:rPr>
              <w:tab/>
            </w:r>
            <w:r w:rsidRPr="00AD512E">
              <w:rPr>
                <w:rStyle w:val="Hyperlink"/>
                <w:rFonts w:ascii="Perpetua" w:hAnsi="Perpetua"/>
                <w:noProof/>
              </w:rPr>
              <w:t>Crises simulation exercise with the financial safety net members.</w:t>
            </w:r>
            <w:r>
              <w:rPr>
                <w:noProof/>
                <w:webHidden/>
              </w:rPr>
              <w:tab/>
            </w:r>
            <w:r>
              <w:rPr>
                <w:noProof/>
                <w:webHidden/>
              </w:rPr>
              <w:fldChar w:fldCharType="begin"/>
            </w:r>
            <w:r>
              <w:rPr>
                <w:noProof/>
                <w:webHidden/>
              </w:rPr>
              <w:instrText xml:space="preserve"> PAGEREF _Toc487804060 \h </w:instrText>
            </w:r>
            <w:r>
              <w:rPr>
                <w:noProof/>
                <w:webHidden/>
              </w:rPr>
            </w:r>
            <w:r>
              <w:rPr>
                <w:noProof/>
                <w:webHidden/>
              </w:rPr>
              <w:fldChar w:fldCharType="separate"/>
            </w:r>
            <w:r>
              <w:rPr>
                <w:noProof/>
                <w:webHidden/>
              </w:rPr>
              <w:t>9</w:t>
            </w:r>
            <w:r>
              <w:rPr>
                <w:noProof/>
                <w:webHidden/>
              </w:rPr>
              <w:fldChar w:fldCharType="end"/>
            </w:r>
          </w:hyperlink>
        </w:p>
        <w:p w14:paraId="7F03281E" w14:textId="77777777" w:rsidR="00E36A3D" w:rsidRDefault="00E36A3D">
          <w:pPr>
            <w:pStyle w:val="TOC3"/>
            <w:tabs>
              <w:tab w:val="left" w:pos="1320"/>
              <w:tab w:val="right" w:leader="dot" w:pos="9016"/>
            </w:tabs>
            <w:rPr>
              <w:noProof/>
            </w:rPr>
          </w:pPr>
          <w:hyperlink w:anchor="_Toc487804061" w:history="1">
            <w:r w:rsidRPr="00AD512E">
              <w:rPr>
                <w:rStyle w:val="Hyperlink"/>
                <w:rFonts w:ascii="Perpetua" w:hAnsi="Perpetua"/>
                <w:noProof/>
              </w:rPr>
              <w:t>2.2.3.</w:t>
            </w:r>
            <w:r>
              <w:rPr>
                <w:noProof/>
              </w:rPr>
              <w:tab/>
            </w:r>
            <w:r w:rsidRPr="00AD512E">
              <w:rPr>
                <w:rStyle w:val="Hyperlink"/>
                <w:rFonts w:ascii="Perpetua" w:hAnsi="Perpetua"/>
                <w:noProof/>
              </w:rPr>
              <w:t>Improvement of regulatory framework</w:t>
            </w:r>
            <w:r>
              <w:rPr>
                <w:noProof/>
                <w:webHidden/>
              </w:rPr>
              <w:tab/>
            </w:r>
            <w:r>
              <w:rPr>
                <w:noProof/>
                <w:webHidden/>
              </w:rPr>
              <w:fldChar w:fldCharType="begin"/>
            </w:r>
            <w:r>
              <w:rPr>
                <w:noProof/>
                <w:webHidden/>
              </w:rPr>
              <w:instrText xml:space="preserve"> PAGEREF _Toc487804061 \h </w:instrText>
            </w:r>
            <w:r>
              <w:rPr>
                <w:noProof/>
                <w:webHidden/>
              </w:rPr>
            </w:r>
            <w:r>
              <w:rPr>
                <w:noProof/>
                <w:webHidden/>
              </w:rPr>
              <w:fldChar w:fldCharType="separate"/>
            </w:r>
            <w:r>
              <w:rPr>
                <w:noProof/>
                <w:webHidden/>
              </w:rPr>
              <w:t>10</w:t>
            </w:r>
            <w:r>
              <w:rPr>
                <w:noProof/>
                <w:webHidden/>
              </w:rPr>
              <w:fldChar w:fldCharType="end"/>
            </w:r>
          </w:hyperlink>
        </w:p>
        <w:p w14:paraId="3726F618" w14:textId="77777777" w:rsidR="00E36A3D" w:rsidRDefault="00E36A3D">
          <w:pPr>
            <w:pStyle w:val="TOC2"/>
            <w:tabs>
              <w:tab w:val="left" w:pos="880"/>
              <w:tab w:val="right" w:leader="dot" w:pos="9016"/>
            </w:tabs>
            <w:rPr>
              <w:noProof/>
            </w:rPr>
          </w:pPr>
          <w:hyperlink w:anchor="_Toc487804062" w:history="1">
            <w:r w:rsidRPr="00AD512E">
              <w:rPr>
                <w:rStyle w:val="Hyperlink"/>
                <w:rFonts w:ascii="Perpetua" w:eastAsiaTheme="majorEastAsia" w:hAnsi="Perpetua" w:cstheme="majorBidi"/>
                <w:b/>
                <w:noProof/>
              </w:rPr>
              <w:t>2.3.</w:t>
            </w:r>
            <w:r>
              <w:rPr>
                <w:noProof/>
              </w:rPr>
              <w:tab/>
            </w:r>
            <w:r w:rsidRPr="00AD512E">
              <w:rPr>
                <w:rStyle w:val="Hyperlink"/>
                <w:rFonts w:ascii="Perpetua" w:eastAsiaTheme="majorEastAsia" w:hAnsi="Perpetua" w:cstheme="majorBidi"/>
                <w:b/>
                <w:noProof/>
              </w:rPr>
              <w:t>Increasing public awareness</w:t>
            </w:r>
            <w:r>
              <w:rPr>
                <w:noProof/>
                <w:webHidden/>
              </w:rPr>
              <w:tab/>
            </w:r>
            <w:r>
              <w:rPr>
                <w:noProof/>
                <w:webHidden/>
              </w:rPr>
              <w:fldChar w:fldCharType="begin"/>
            </w:r>
            <w:r>
              <w:rPr>
                <w:noProof/>
                <w:webHidden/>
              </w:rPr>
              <w:instrText xml:space="preserve"> PAGEREF _Toc487804062 \h </w:instrText>
            </w:r>
            <w:r>
              <w:rPr>
                <w:noProof/>
                <w:webHidden/>
              </w:rPr>
            </w:r>
            <w:r>
              <w:rPr>
                <w:noProof/>
                <w:webHidden/>
              </w:rPr>
              <w:fldChar w:fldCharType="separate"/>
            </w:r>
            <w:r>
              <w:rPr>
                <w:noProof/>
                <w:webHidden/>
              </w:rPr>
              <w:t>10</w:t>
            </w:r>
            <w:r>
              <w:rPr>
                <w:noProof/>
                <w:webHidden/>
              </w:rPr>
              <w:fldChar w:fldCharType="end"/>
            </w:r>
          </w:hyperlink>
        </w:p>
        <w:p w14:paraId="6CBBBF79" w14:textId="77777777" w:rsidR="00E36A3D" w:rsidRDefault="00E36A3D">
          <w:pPr>
            <w:pStyle w:val="TOC3"/>
            <w:tabs>
              <w:tab w:val="left" w:pos="1320"/>
              <w:tab w:val="right" w:leader="dot" w:pos="9016"/>
            </w:tabs>
            <w:rPr>
              <w:noProof/>
            </w:rPr>
          </w:pPr>
          <w:hyperlink w:anchor="_Toc487804063" w:history="1">
            <w:r w:rsidRPr="00AD512E">
              <w:rPr>
                <w:rStyle w:val="Hyperlink"/>
                <w:rFonts w:ascii="Perpetua" w:hAnsi="Perpetua"/>
                <w:noProof/>
              </w:rPr>
              <w:t>2.3.1.</w:t>
            </w:r>
            <w:r>
              <w:rPr>
                <w:noProof/>
              </w:rPr>
              <w:tab/>
            </w:r>
            <w:r w:rsidRPr="00AD512E">
              <w:rPr>
                <w:rStyle w:val="Hyperlink"/>
                <w:rFonts w:ascii="Perpetua" w:hAnsi="Perpetua"/>
                <w:noProof/>
              </w:rPr>
              <w:t>Cooperation with members of the deposit insurance scheme</w:t>
            </w:r>
            <w:r>
              <w:rPr>
                <w:noProof/>
                <w:webHidden/>
              </w:rPr>
              <w:tab/>
            </w:r>
            <w:r>
              <w:rPr>
                <w:noProof/>
                <w:webHidden/>
              </w:rPr>
              <w:fldChar w:fldCharType="begin"/>
            </w:r>
            <w:r>
              <w:rPr>
                <w:noProof/>
                <w:webHidden/>
              </w:rPr>
              <w:instrText xml:space="preserve"> PAGEREF _Toc487804063 \h </w:instrText>
            </w:r>
            <w:r>
              <w:rPr>
                <w:noProof/>
                <w:webHidden/>
              </w:rPr>
            </w:r>
            <w:r>
              <w:rPr>
                <w:noProof/>
                <w:webHidden/>
              </w:rPr>
              <w:fldChar w:fldCharType="separate"/>
            </w:r>
            <w:r>
              <w:rPr>
                <w:noProof/>
                <w:webHidden/>
              </w:rPr>
              <w:t>11</w:t>
            </w:r>
            <w:r>
              <w:rPr>
                <w:noProof/>
                <w:webHidden/>
              </w:rPr>
              <w:fldChar w:fldCharType="end"/>
            </w:r>
          </w:hyperlink>
        </w:p>
        <w:p w14:paraId="79AD6D1B" w14:textId="77777777" w:rsidR="00E36A3D" w:rsidRDefault="00E36A3D">
          <w:pPr>
            <w:pStyle w:val="TOC3"/>
            <w:tabs>
              <w:tab w:val="left" w:pos="1320"/>
              <w:tab w:val="right" w:leader="dot" w:pos="9016"/>
            </w:tabs>
            <w:rPr>
              <w:noProof/>
            </w:rPr>
          </w:pPr>
          <w:hyperlink w:anchor="_Toc487804064" w:history="1">
            <w:r w:rsidRPr="00AD512E">
              <w:rPr>
                <w:rStyle w:val="Hyperlink"/>
                <w:rFonts w:ascii="Perpetua" w:hAnsi="Perpetua"/>
                <w:noProof/>
                <w:lang w:val="sq-AL"/>
              </w:rPr>
              <w:t>2.3.2.</w:t>
            </w:r>
            <w:r>
              <w:rPr>
                <w:noProof/>
              </w:rPr>
              <w:tab/>
            </w:r>
            <w:r w:rsidRPr="00AD512E">
              <w:rPr>
                <w:rStyle w:val="Hyperlink"/>
                <w:rFonts w:ascii="Perpetua" w:hAnsi="Perpetua"/>
                <w:noProof/>
                <w:lang w:val="sq-AL"/>
              </w:rPr>
              <w:t>Promotional initiatives</w:t>
            </w:r>
            <w:r>
              <w:rPr>
                <w:noProof/>
                <w:webHidden/>
              </w:rPr>
              <w:tab/>
            </w:r>
            <w:r>
              <w:rPr>
                <w:noProof/>
                <w:webHidden/>
              </w:rPr>
              <w:fldChar w:fldCharType="begin"/>
            </w:r>
            <w:r>
              <w:rPr>
                <w:noProof/>
                <w:webHidden/>
              </w:rPr>
              <w:instrText xml:space="preserve"> PAGEREF _Toc487804064 \h </w:instrText>
            </w:r>
            <w:r>
              <w:rPr>
                <w:noProof/>
                <w:webHidden/>
              </w:rPr>
            </w:r>
            <w:r>
              <w:rPr>
                <w:noProof/>
                <w:webHidden/>
              </w:rPr>
              <w:fldChar w:fldCharType="separate"/>
            </w:r>
            <w:r>
              <w:rPr>
                <w:noProof/>
                <w:webHidden/>
              </w:rPr>
              <w:t>11</w:t>
            </w:r>
            <w:r>
              <w:rPr>
                <w:noProof/>
                <w:webHidden/>
              </w:rPr>
              <w:fldChar w:fldCharType="end"/>
            </w:r>
          </w:hyperlink>
        </w:p>
        <w:p w14:paraId="0D3F913C" w14:textId="77777777" w:rsidR="00E36A3D" w:rsidRDefault="00E36A3D">
          <w:pPr>
            <w:pStyle w:val="TOC2"/>
            <w:tabs>
              <w:tab w:val="left" w:pos="880"/>
              <w:tab w:val="right" w:leader="dot" w:pos="9016"/>
            </w:tabs>
            <w:rPr>
              <w:noProof/>
            </w:rPr>
          </w:pPr>
          <w:hyperlink w:anchor="_Toc487804065" w:history="1">
            <w:r w:rsidRPr="00AD512E">
              <w:rPr>
                <w:rStyle w:val="Hyperlink"/>
                <w:rFonts w:ascii="Perpetua" w:hAnsi="Perpetua"/>
                <w:b/>
                <w:noProof/>
                <w:lang w:val="sq-AL"/>
              </w:rPr>
              <w:t>2.4.</w:t>
            </w:r>
            <w:r>
              <w:rPr>
                <w:noProof/>
              </w:rPr>
              <w:tab/>
            </w:r>
            <w:r w:rsidRPr="00AD512E">
              <w:rPr>
                <w:rStyle w:val="Hyperlink"/>
                <w:rFonts w:ascii="Perpetua" w:hAnsi="Perpetua"/>
                <w:b/>
                <w:noProof/>
              </w:rPr>
              <w:t>The efficient administration of the Agency</w:t>
            </w:r>
            <w:r>
              <w:rPr>
                <w:noProof/>
                <w:webHidden/>
              </w:rPr>
              <w:tab/>
            </w:r>
            <w:r>
              <w:rPr>
                <w:noProof/>
                <w:webHidden/>
              </w:rPr>
              <w:fldChar w:fldCharType="begin"/>
            </w:r>
            <w:r>
              <w:rPr>
                <w:noProof/>
                <w:webHidden/>
              </w:rPr>
              <w:instrText xml:space="preserve"> PAGEREF _Toc487804065 \h </w:instrText>
            </w:r>
            <w:r>
              <w:rPr>
                <w:noProof/>
                <w:webHidden/>
              </w:rPr>
            </w:r>
            <w:r>
              <w:rPr>
                <w:noProof/>
                <w:webHidden/>
              </w:rPr>
              <w:fldChar w:fldCharType="separate"/>
            </w:r>
            <w:r>
              <w:rPr>
                <w:noProof/>
                <w:webHidden/>
              </w:rPr>
              <w:t>12</w:t>
            </w:r>
            <w:r>
              <w:rPr>
                <w:noProof/>
                <w:webHidden/>
              </w:rPr>
              <w:fldChar w:fldCharType="end"/>
            </w:r>
          </w:hyperlink>
        </w:p>
        <w:p w14:paraId="5AB357FA" w14:textId="77777777" w:rsidR="00E36A3D" w:rsidRDefault="00E36A3D">
          <w:pPr>
            <w:pStyle w:val="TOC2"/>
            <w:tabs>
              <w:tab w:val="left" w:pos="880"/>
              <w:tab w:val="right" w:leader="dot" w:pos="9016"/>
            </w:tabs>
            <w:rPr>
              <w:noProof/>
            </w:rPr>
          </w:pPr>
          <w:hyperlink w:anchor="_Toc487804066" w:history="1">
            <w:r w:rsidRPr="00AD512E">
              <w:rPr>
                <w:rStyle w:val="Hyperlink"/>
                <w:rFonts w:ascii="Perpetua" w:hAnsi="Perpetua"/>
                <w:b/>
                <w:noProof/>
              </w:rPr>
              <w:t>2.5.</w:t>
            </w:r>
            <w:r>
              <w:rPr>
                <w:noProof/>
              </w:rPr>
              <w:tab/>
            </w:r>
            <w:r w:rsidRPr="00AD512E">
              <w:rPr>
                <w:rStyle w:val="Hyperlink"/>
                <w:rFonts w:ascii="Perpetua" w:hAnsi="Perpetua"/>
                <w:b/>
                <w:noProof/>
              </w:rPr>
              <w:t>Expansion of the deposit insurance scheme</w:t>
            </w:r>
            <w:r>
              <w:rPr>
                <w:noProof/>
                <w:webHidden/>
              </w:rPr>
              <w:tab/>
            </w:r>
            <w:r>
              <w:rPr>
                <w:noProof/>
                <w:webHidden/>
              </w:rPr>
              <w:fldChar w:fldCharType="begin"/>
            </w:r>
            <w:r>
              <w:rPr>
                <w:noProof/>
                <w:webHidden/>
              </w:rPr>
              <w:instrText xml:space="preserve"> PAGEREF _Toc487804066 \h </w:instrText>
            </w:r>
            <w:r>
              <w:rPr>
                <w:noProof/>
                <w:webHidden/>
              </w:rPr>
            </w:r>
            <w:r>
              <w:rPr>
                <w:noProof/>
                <w:webHidden/>
              </w:rPr>
              <w:fldChar w:fldCharType="separate"/>
            </w:r>
            <w:r>
              <w:rPr>
                <w:noProof/>
                <w:webHidden/>
              </w:rPr>
              <w:t>13</w:t>
            </w:r>
            <w:r>
              <w:rPr>
                <w:noProof/>
                <w:webHidden/>
              </w:rPr>
              <w:fldChar w:fldCharType="end"/>
            </w:r>
          </w:hyperlink>
        </w:p>
        <w:p w14:paraId="2D42FFF7" w14:textId="77777777" w:rsidR="00E36A3D" w:rsidRDefault="00E36A3D">
          <w:pPr>
            <w:pStyle w:val="TOC2"/>
            <w:tabs>
              <w:tab w:val="left" w:pos="880"/>
              <w:tab w:val="right" w:leader="dot" w:pos="9016"/>
            </w:tabs>
            <w:rPr>
              <w:noProof/>
            </w:rPr>
          </w:pPr>
          <w:hyperlink w:anchor="_Toc487804067" w:history="1">
            <w:r w:rsidRPr="00AD512E">
              <w:rPr>
                <w:rStyle w:val="Hyperlink"/>
                <w:rFonts w:ascii="Perpetua" w:hAnsi="Perpetua"/>
                <w:b/>
                <w:noProof/>
              </w:rPr>
              <w:t>2.6.</w:t>
            </w:r>
            <w:r>
              <w:rPr>
                <w:noProof/>
              </w:rPr>
              <w:tab/>
            </w:r>
            <w:r w:rsidRPr="00AD512E">
              <w:rPr>
                <w:rStyle w:val="Hyperlink"/>
                <w:rFonts w:ascii="Perpetua" w:hAnsi="Perpetua"/>
                <w:b/>
                <w:noProof/>
              </w:rPr>
              <w:t>International collaboration</w:t>
            </w:r>
            <w:r>
              <w:rPr>
                <w:noProof/>
                <w:webHidden/>
              </w:rPr>
              <w:tab/>
            </w:r>
            <w:r>
              <w:rPr>
                <w:noProof/>
                <w:webHidden/>
              </w:rPr>
              <w:fldChar w:fldCharType="begin"/>
            </w:r>
            <w:r>
              <w:rPr>
                <w:noProof/>
                <w:webHidden/>
              </w:rPr>
              <w:instrText xml:space="preserve"> PAGEREF _Toc487804067 \h </w:instrText>
            </w:r>
            <w:r>
              <w:rPr>
                <w:noProof/>
                <w:webHidden/>
              </w:rPr>
            </w:r>
            <w:r>
              <w:rPr>
                <w:noProof/>
                <w:webHidden/>
              </w:rPr>
              <w:fldChar w:fldCharType="separate"/>
            </w:r>
            <w:r>
              <w:rPr>
                <w:noProof/>
                <w:webHidden/>
              </w:rPr>
              <w:t>14</w:t>
            </w:r>
            <w:r>
              <w:rPr>
                <w:noProof/>
                <w:webHidden/>
              </w:rPr>
              <w:fldChar w:fldCharType="end"/>
            </w:r>
          </w:hyperlink>
        </w:p>
        <w:p w14:paraId="7E628104" w14:textId="77777777" w:rsidR="00E36A3D" w:rsidRDefault="00E36A3D">
          <w:pPr>
            <w:pStyle w:val="TOC3"/>
            <w:tabs>
              <w:tab w:val="left" w:pos="1320"/>
              <w:tab w:val="right" w:leader="dot" w:pos="9016"/>
            </w:tabs>
            <w:rPr>
              <w:noProof/>
            </w:rPr>
          </w:pPr>
          <w:hyperlink w:anchor="_Toc487804068" w:history="1">
            <w:r w:rsidRPr="00AD512E">
              <w:rPr>
                <w:rStyle w:val="Hyperlink"/>
                <w:rFonts w:ascii="Perpetua" w:eastAsia="Times New Roman" w:hAnsi="Perpetua"/>
                <w:bCs/>
                <w:noProof/>
              </w:rPr>
              <w:t>2.6.1.</w:t>
            </w:r>
            <w:r>
              <w:rPr>
                <w:noProof/>
              </w:rPr>
              <w:tab/>
            </w:r>
            <w:r w:rsidRPr="00AD512E">
              <w:rPr>
                <w:rStyle w:val="Hyperlink"/>
                <w:rFonts w:ascii="Perpetua" w:eastAsia="Times New Roman" w:hAnsi="Perpetua"/>
                <w:noProof/>
              </w:rPr>
              <w:t>Experience exchange with regional counterpart agencies</w:t>
            </w:r>
            <w:r>
              <w:rPr>
                <w:noProof/>
                <w:webHidden/>
              </w:rPr>
              <w:tab/>
            </w:r>
            <w:r>
              <w:rPr>
                <w:noProof/>
                <w:webHidden/>
              </w:rPr>
              <w:fldChar w:fldCharType="begin"/>
            </w:r>
            <w:r>
              <w:rPr>
                <w:noProof/>
                <w:webHidden/>
              </w:rPr>
              <w:instrText xml:space="preserve"> PAGEREF _Toc487804068 \h </w:instrText>
            </w:r>
            <w:r>
              <w:rPr>
                <w:noProof/>
                <w:webHidden/>
              </w:rPr>
            </w:r>
            <w:r>
              <w:rPr>
                <w:noProof/>
                <w:webHidden/>
              </w:rPr>
              <w:fldChar w:fldCharType="separate"/>
            </w:r>
            <w:r>
              <w:rPr>
                <w:noProof/>
                <w:webHidden/>
              </w:rPr>
              <w:t>14</w:t>
            </w:r>
            <w:r>
              <w:rPr>
                <w:noProof/>
                <w:webHidden/>
              </w:rPr>
              <w:fldChar w:fldCharType="end"/>
            </w:r>
          </w:hyperlink>
        </w:p>
        <w:p w14:paraId="23FC71F0" w14:textId="77777777" w:rsidR="00E36A3D" w:rsidRDefault="00E36A3D">
          <w:pPr>
            <w:pStyle w:val="TOC3"/>
            <w:tabs>
              <w:tab w:val="left" w:pos="1320"/>
              <w:tab w:val="right" w:leader="dot" w:pos="9016"/>
            </w:tabs>
            <w:rPr>
              <w:noProof/>
            </w:rPr>
          </w:pPr>
          <w:hyperlink w:anchor="_Toc487804069" w:history="1">
            <w:r w:rsidRPr="00AD512E">
              <w:rPr>
                <w:rStyle w:val="Hyperlink"/>
                <w:rFonts w:ascii="Perpetua" w:eastAsia="Times New Roman" w:hAnsi="Perpetua"/>
                <w:noProof/>
              </w:rPr>
              <w:t>2.6.2.</w:t>
            </w:r>
            <w:r>
              <w:rPr>
                <w:noProof/>
              </w:rPr>
              <w:tab/>
            </w:r>
            <w:r w:rsidRPr="00AD512E">
              <w:rPr>
                <w:rStyle w:val="Hyperlink"/>
                <w:rFonts w:ascii="Perpetua" w:eastAsia="Times New Roman" w:hAnsi="Perpetua"/>
                <w:noProof/>
              </w:rPr>
              <w:t>Extending Cooperation with Homologous Deposit Insurers</w:t>
            </w:r>
            <w:r>
              <w:rPr>
                <w:noProof/>
                <w:webHidden/>
              </w:rPr>
              <w:tab/>
            </w:r>
            <w:r>
              <w:rPr>
                <w:noProof/>
                <w:webHidden/>
              </w:rPr>
              <w:fldChar w:fldCharType="begin"/>
            </w:r>
            <w:r>
              <w:rPr>
                <w:noProof/>
                <w:webHidden/>
              </w:rPr>
              <w:instrText xml:space="preserve"> PAGEREF _Toc487804069 \h </w:instrText>
            </w:r>
            <w:r>
              <w:rPr>
                <w:noProof/>
                <w:webHidden/>
              </w:rPr>
            </w:r>
            <w:r>
              <w:rPr>
                <w:noProof/>
                <w:webHidden/>
              </w:rPr>
              <w:fldChar w:fldCharType="separate"/>
            </w:r>
            <w:r>
              <w:rPr>
                <w:noProof/>
                <w:webHidden/>
              </w:rPr>
              <w:t>15</w:t>
            </w:r>
            <w:r>
              <w:rPr>
                <w:noProof/>
                <w:webHidden/>
              </w:rPr>
              <w:fldChar w:fldCharType="end"/>
            </w:r>
          </w:hyperlink>
        </w:p>
        <w:p w14:paraId="26ABC4DA" w14:textId="77777777" w:rsidR="00E36A3D" w:rsidRDefault="00E36A3D">
          <w:pPr>
            <w:pStyle w:val="TOC1"/>
            <w:tabs>
              <w:tab w:val="right" w:leader="dot" w:pos="9016"/>
            </w:tabs>
            <w:rPr>
              <w:noProof/>
            </w:rPr>
          </w:pPr>
          <w:hyperlink w:anchor="_Toc487804070" w:history="1">
            <w:r w:rsidRPr="00AD512E">
              <w:rPr>
                <w:rStyle w:val="Hyperlink"/>
                <w:rFonts w:ascii="Perpetua" w:hAnsi="Perpetua"/>
                <w:b/>
                <w:noProof/>
              </w:rPr>
              <w:t>Section 3</w:t>
            </w:r>
            <w:r w:rsidRPr="00AD512E">
              <w:rPr>
                <w:rStyle w:val="Hyperlink"/>
                <w:rFonts w:ascii="Perpetua" w:hAnsi="Perpetua"/>
                <w:noProof/>
              </w:rPr>
              <w:t xml:space="preserve"> – </w:t>
            </w:r>
            <w:r w:rsidRPr="00AD512E">
              <w:rPr>
                <w:rStyle w:val="Hyperlink"/>
                <w:rFonts w:ascii="Perpetua" w:hAnsi="Perpetua"/>
                <w:b/>
                <w:noProof/>
                <w:u w:color="FF0000"/>
              </w:rPr>
              <w:t>Banking sector performance and progress of deposits</w:t>
            </w:r>
            <w:r>
              <w:rPr>
                <w:noProof/>
                <w:webHidden/>
              </w:rPr>
              <w:tab/>
            </w:r>
            <w:r>
              <w:rPr>
                <w:noProof/>
                <w:webHidden/>
              </w:rPr>
              <w:fldChar w:fldCharType="begin"/>
            </w:r>
            <w:r>
              <w:rPr>
                <w:noProof/>
                <w:webHidden/>
              </w:rPr>
              <w:instrText xml:space="preserve"> PAGEREF _Toc487804070 \h </w:instrText>
            </w:r>
            <w:r>
              <w:rPr>
                <w:noProof/>
                <w:webHidden/>
              </w:rPr>
            </w:r>
            <w:r>
              <w:rPr>
                <w:noProof/>
                <w:webHidden/>
              </w:rPr>
              <w:fldChar w:fldCharType="separate"/>
            </w:r>
            <w:r>
              <w:rPr>
                <w:noProof/>
                <w:webHidden/>
              </w:rPr>
              <w:t>17</w:t>
            </w:r>
            <w:r>
              <w:rPr>
                <w:noProof/>
                <w:webHidden/>
              </w:rPr>
              <w:fldChar w:fldCharType="end"/>
            </w:r>
          </w:hyperlink>
        </w:p>
        <w:p w14:paraId="26ABAFAC" w14:textId="77777777" w:rsidR="00E36A3D" w:rsidRDefault="00E36A3D">
          <w:pPr>
            <w:pStyle w:val="TOC2"/>
            <w:tabs>
              <w:tab w:val="left" w:pos="880"/>
              <w:tab w:val="right" w:leader="dot" w:pos="9016"/>
            </w:tabs>
            <w:rPr>
              <w:noProof/>
            </w:rPr>
          </w:pPr>
          <w:hyperlink w:anchor="_Toc487804071" w:history="1">
            <w:r w:rsidRPr="00AD512E">
              <w:rPr>
                <w:rStyle w:val="Hyperlink"/>
                <w:rFonts w:ascii="Perpetua" w:hAnsi="Perpetua"/>
                <w:b/>
                <w:noProof/>
              </w:rPr>
              <w:t>3.1.</w:t>
            </w:r>
            <w:r>
              <w:rPr>
                <w:noProof/>
              </w:rPr>
              <w:tab/>
            </w:r>
            <w:r w:rsidRPr="00AD512E">
              <w:rPr>
                <w:rStyle w:val="Hyperlink"/>
                <w:rFonts w:ascii="Perpetua" w:hAnsi="Perpetua"/>
                <w:b/>
                <w:noProof/>
              </w:rPr>
              <w:t>Banking system, main indicators</w:t>
            </w:r>
            <w:r>
              <w:rPr>
                <w:noProof/>
                <w:webHidden/>
              </w:rPr>
              <w:tab/>
            </w:r>
            <w:r>
              <w:rPr>
                <w:noProof/>
                <w:webHidden/>
              </w:rPr>
              <w:fldChar w:fldCharType="begin"/>
            </w:r>
            <w:r>
              <w:rPr>
                <w:noProof/>
                <w:webHidden/>
              </w:rPr>
              <w:instrText xml:space="preserve"> PAGEREF _Toc487804071 \h </w:instrText>
            </w:r>
            <w:r>
              <w:rPr>
                <w:noProof/>
                <w:webHidden/>
              </w:rPr>
            </w:r>
            <w:r>
              <w:rPr>
                <w:noProof/>
                <w:webHidden/>
              </w:rPr>
              <w:fldChar w:fldCharType="separate"/>
            </w:r>
            <w:r>
              <w:rPr>
                <w:noProof/>
                <w:webHidden/>
              </w:rPr>
              <w:t>17</w:t>
            </w:r>
            <w:r>
              <w:rPr>
                <w:noProof/>
                <w:webHidden/>
              </w:rPr>
              <w:fldChar w:fldCharType="end"/>
            </w:r>
          </w:hyperlink>
        </w:p>
        <w:p w14:paraId="237F101C" w14:textId="77777777" w:rsidR="00E36A3D" w:rsidRDefault="00E36A3D">
          <w:pPr>
            <w:pStyle w:val="TOC2"/>
            <w:tabs>
              <w:tab w:val="left" w:pos="880"/>
              <w:tab w:val="right" w:leader="dot" w:pos="9016"/>
            </w:tabs>
            <w:rPr>
              <w:noProof/>
            </w:rPr>
          </w:pPr>
          <w:hyperlink w:anchor="_Toc487804072" w:history="1">
            <w:r w:rsidRPr="00AD512E">
              <w:rPr>
                <w:rStyle w:val="Hyperlink"/>
                <w:rFonts w:ascii="Perpetua" w:eastAsia="Times New Roman" w:hAnsi="Perpetua"/>
                <w:b/>
                <w:noProof/>
              </w:rPr>
              <w:t>3.2.</w:t>
            </w:r>
            <w:r>
              <w:rPr>
                <w:noProof/>
              </w:rPr>
              <w:tab/>
            </w:r>
            <w:r w:rsidRPr="00AD512E">
              <w:rPr>
                <w:rStyle w:val="Hyperlink"/>
                <w:rFonts w:ascii="Perpetua" w:eastAsia="Times New Roman" w:hAnsi="Perpetua"/>
                <w:b/>
                <w:noProof/>
              </w:rPr>
              <w:t>Deposits in the system</w:t>
            </w:r>
            <w:r>
              <w:rPr>
                <w:noProof/>
                <w:webHidden/>
              </w:rPr>
              <w:tab/>
            </w:r>
            <w:r>
              <w:rPr>
                <w:noProof/>
                <w:webHidden/>
              </w:rPr>
              <w:fldChar w:fldCharType="begin"/>
            </w:r>
            <w:r>
              <w:rPr>
                <w:noProof/>
                <w:webHidden/>
              </w:rPr>
              <w:instrText xml:space="preserve"> PAGEREF _Toc487804072 \h </w:instrText>
            </w:r>
            <w:r>
              <w:rPr>
                <w:noProof/>
                <w:webHidden/>
              </w:rPr>
            </w:r>
            <w:r>
              <w:rPr>
                <w:noProof/>
                <w:webHidden/>
              </w:rPr>
              <w:fldChar w:fldCharType="separate"/>
            </w:r>
            <w:r>
              <w:rPr>
                <w:noProof/>
                <w:webHidden/>
              </w:rPr>
              <w:t>19</w:t>
            </w:r>
            <w:r>
              <w:rPr>
                <w:noProof/>
                <w:webHidden/>
              </w:rPr>
              <w:fldChar w:fldCharType="end"/>
            </w:r>
          </w:hyperlink>
        </w:p>
        <w:p w14:paraId="5C99C59B" w14:textId="77777777" w:rsidR="00E36A3D" w:rsidRDefault="00E36A3D">
          <w:pPr>
            <w:pStyle w:val="TOC2"/>
            <w:tabs>
              <w:tab w:val="left" w:pos="880"/>
              <w:tab w:val="right" w:leader="dot" w:pos="9016"/>
            </w:tabs>
            <w:rPr>
              <w:noProof/>
            </w:rPr>
          </w:pPr>
          <w:hyperlink w:anchor="_Toc487804073" w:history="1">
            <w:r w:rsidRPr="00AD512E">
              <w:rPr>
                <w:rStyle w:val="Hyperlink"/>
                <w:rFonts w:ascii="Perpetua" w:eastAsia="Times New Roman" w:hAnsi="Perpetua"/>
                <w:b/>
                <w:noProof/>
              </w:rPr>
              <w:t>3.3.</w:t>
            </w:r>
            <w:r>
              <w:rPr>
                <w:noProof/>
              </w:rPr>
              <w:tab/>
            </w:r>
            <w:r w:rsidRPr="00AD512E">
              <w:rPr>
                <w:rStyle w:val="Hyperlink"/>
                <w:rFonts w:ascii="Perpetua" w:eastAsia="Times New Roman" w:hAnsi="Perpetua"/>
                <w:b/>
                <w:noProof/>
              </w:rPr>
              <w:t>Individual deposits</w:t>
            </w:r>
            <w:r>
              <w:rPr>
                <w:noProof/>
                <w:webHidden/>
              </w:rPr>
              <w:tab/>
            </w:r>
            <w:r>
              <w:rPr>
                <w:noProof/>
                <w:webHidden/>
              </w:rPr>
              <w:fldChar w:fldCharType="begin"/>
            </w:r>
            <w:r>
              <w:rPr>
                <w:noProof/>
                <w:webHidden/>
              </w:rPr>
              <w:instrText xml:space="preserve"> PAGEREF _Toc487804073 \h </w:instrText>
            </w:r>
            <w:r>
              <w:rPr>
                <w:noProof/>
                <w:webHidden/>
              </w:rPr>
            </w:r>
            <w:r>
              <w:rPr>
                <w:noProof/>
                <w:webHidden/>
              </w:rPr>
              <w:fldChar w:fldCharType="separate"/>
            </w:r>
            <w:r>
              <w:rPr>
                <w:noProof/>
                <w:webHidden/>
              </w:rPr>
              <w:t>19</w:t>
            </w:r>
            <w:r>
              <w:rPr>
                <w:noProof/>
                <w:webHidden/>
              </w:rPr>
              <w:fldChar w:fldCharType="end"/>
            </w:r>
          </w:hyperlink>
        </w:p>
        <w:p w14:paraId="123EB76F" w14:textId="77777777" w:rsidR="00E36A3D" w:rsidRDefault="00E36A3D">
          <w:pPr>
            <w:pStyle w:val="TOC2"/>
            <w:tabs>
              <w:tab w:val="left" w:pos="880"/>
              <w:tab w:val="right" w:leader="dot" w:pos="9016"/>
            </w:tabs>
            <w:rPr>
              <w:noProof/>
            </w:rPr>
          </w:pPr>
          <w:hyperlink w:anchor="_Toc487804074" w:history="1">
            <w:r w:rsidRPr="00AD512E">
              <w:rPr>
                <w:rStyle w:val="Hyperlink"/>
                <w:rFonts w:ascii="Perpetua" w:eastAsia="Times New Roman" w:hAnsi="Perpetua"/>
                <w:b/>
                <w:noProof/>
              </w:rPr>
              <w:t>3.4.</w:t>
            </w:r>
            <w:r>
              <w:rPr>
                <w:noProof/>
              </w:rPr>
              <w:tab/>
            </w:r>
            <w:r w:rsidRPr="00AD512E">
              <w:rPr>
                <w:rStyle w:val="Hyperlink"/>
                <w:rFonts w:ascii="Perpetua" w:eastAsia="Times New Roman" w:hAnsi="Perpetua"/>
                <w:b/>
                <w:noProof/>
              </w:rPr>
              <w:t>Insured deposits</w:t>
            </w:r>
            <w:r>
              <w:rPr>
                <w:noProof/>
                <w:webHidden/>
              </w:rPr>
              <w:tab/>
            </w:r>
            <w:r>
              <w:rPr>
                <w:noProof/>
                <w:webHidden/>
              </w:rPr>
              <w:fldChar w:fldCharType="begin"/>
            </w:r>
            <w:r>
              <w:rPr>
                <w:noProof/>
                <w:webHidden/>
              </w:rPr>
              <w:instrText xml:space="preserve"> PAGEREF _Toc487804074 \h </w:instrText>
            </w:r>
            <w:r>
              <w:rPr>
                <w:noProof/>
                <w:webHidden/>
              </w:rPr>
            </w:r>
            <w:r>
              <w:rPr>
                <w:noProof/>
                <w:webHidden/>
              </w:rPr>
              <w:fldChar w:fldCharType="separate"/>
            </w:r>
            <w:r>
              <w:rPr>
                <w:noProof/>
                <w:webHidden/>
              </w:rPr>
              <w:t>23</w:t>
            </w:r>
            <w:r>
              <w:rPr>
                <w:noProof/>
                <w:webHidden/>
              </w:rPr>
              <w:fldChar w:fldCharType="end"/>
            </w:r>
          </w:hyperlink>
        </w:p>
        <w:p w14:paraId="0B0FD4ED" w14:textId="77777777" w:rsidR="00E36A3D" w:rsidRDefault="00E36A3D">
          <w:pPr>
            <w:pStyle w:val="TOC2"/>
            <w:tabs>
              <w:tab w:val="left" w:pos="880"/>
              <w:tab w:val="right" w:leader="dot" w:pos="9016"/>
            </w:tabs>
            <w:rPr>
              <w:noProof/>
            </w:rPr>
          </w:pPr>
          <w:hyperlink w:anchor="_Toc487804075" w:history="1">
            <w:r w:rsidRPr="00AD512E">
              <w:rPr>
                <w:rStyle w:val="Hyperlink"/>
                <w:rFonts w:ascii="Perpetua" w:hAnsi="Perpetua"/>
                <w:b/>
                <w:noProof/>
              </w:rPr>
              <w:t>3.5.</w:t>
            </w:r>
            <w:r>
              <w:rPr>
                <w:noProof/>
              </w:rPr>
              <w:tab/>
            </w:r>
            <w:r w:rsidRPr="00AD512E">
              <w:rPr>
                <w:rStyle w:val="Hyperlink"/>
                <w:rFonts w:ascii="Perpetua" w:hAnsi="Perpetua"/>
                <w:b/>
                <w:noProof/>
              </w:rPr>
              <w:t>Verification process</w:t>
            </w:r>
            <w:r>
              <w:rPr>
                <w:noProof/>
                <w:webHidden/>
              </w:rPr>
              <w:tab/>
            </w:r>
            <w:r>
              <w:rPr>
                <w:noProof/>
                <w:webHidden/>
              </w:rPr>
              <w:fldChar w:fldCharType="begin"/>
            </w:r>
            <w:r>
              <w:rPr>
                <w:noProof/>
                <w:webHidden/>
              </w:rPr>
              <w:instrText xml:space="preserve"> PAGEREF _Toc487804075 \h </w:instrText>
            </w:r>
            <w:r>
              <w:rPr>
                <w:noProof/>
                <w:webHidden/>
              </w:rPr>
            </w:r>
            <w:r>
              <w:rPr>
                <w:noProof/>
                <w:webHidden/>
              </w:rPr>
              <w:fldChar w:fldCharType="separate"/>
            </w:r>
            <w:r>
              <w:rPr>
                <w:noProof/>
                <w:webHidden/>
              </w:rPr>
              <w:t>26</w:t>
            </w:r>
            <w:r>
              <w:rPr>
                <w:noProof/>
                <w:webHidden/>
              </w:rPr>
              <w:fldChar w:fldCharType="end"/>
            </w:r>
          </w:hyperlink>
        </w:p>
        <w:p w14:paraId="79683307" w14:textId="77777777" w:rsidR="00E36A3D" w:rsidRDefault="00E36A3D">
          <w:pPr>
            <w:pStyle w:val="TOC1"/>
            <w:tabs>
              <w:tab w:val="right" w:leader="dot" w:pos="9016"/>
            </w:tabs>
            <w:rPr>
              <w:noProof/>
            </w:rPr>
          </w:pPr>
          <w:hyperlink w:anchor="_Toc487804076" w:history="1">
            <w:r w:rsidRPr="00AD512E">
              <w:rPr>
                <w:rStyle w:val="Hyperlink"/>
                <w:rFonts w:ascii="Perpetua" w:hAnsi="Perpetua"/>
                <w:b/>
                <w:noProof/>
              </w:rPr>
              <w:t xml:space="preserve">Section 4 - </w:t>
            </w:r>
            <w:r w:rsidRPr="00AD512E">
              <w:rPr>
                <w:rStyle w:val="Hyperlink"/>
                <w:rFonts w:ascii="Perpetua" w:hAnsi="Perpetua"/>
                <w:b/>
                <w:noProof/>
                <w:u w:color="FF0000"/>
              </w:rPr>
              <w:t>Budget and Financial resources available to the Agency</w:t>
            </w:r>
            <w:r>
              <w:rPr>
                <w:noProof/>
                <w:webHidden/>
              </w:rPr>
              <w:tab/>
            </w:r>
            <w:r>
              <w:rPr>
                <w:noProof/>
                <w:webHidden/>
              </w:rPr>
              <w:fldChar w:fldCharType="begin"/>
            </w:r>
            <w:r>
              <w:rPr>
                <w:noProof/>
                <w:webHidden/>
              </w:rPr>
              <w:instrText xml:space="preserve"> PAGEREF _Toc487804076 \h </w:instrText>
            </w:r>
            <w:r>
              <w:rPr>
                <w:noProof/>
                <w:webHidden/>
              </w:rPr>
            </w:r>
            <w:r>
              <w:rPr>
                <w:noProof/>
                <w:webHidden/>
              </w:rPr>
              <w:fldChar w:fldCharType="separate"/>
            </w:r>
            <w:r>
              <w:rPr>
                <w:noProof/>
                <w:webHidden/>
              </w:rPr>
              <w:t>27</w:t>
            </w:r>
            <w:r>
              <w:rPr>
                <w:noProof/>
                <w:webHidden/>
              </w:rPr>
              <w:fldChar w:fldCharType="end"/>
            </w:r>
          </w:hyperlink>
        </w:p>
        <w:p w14:paraId="2D7A96D2" w14:textId="77777777" w:rsidR="00E36A3D" w:rsidRDefault="00E36A3D">
          <w:pPr>
            <w:pStyle w:val="TOC2"/>
            <w:tabs>
              <w:tab w:val="right" w:leader="dot" w:pos="9016"/>
            </w:tabs>
            <w:rPr>
              <w:noProof/>
            </w:rPr>
          </w:pPr>
          <w:hyperlink w:anchor="_Toc487804077" w:history="1">
            <w:r w:rsidRPr="00AD512E">
              <w:rPr>
                <w:rStyle w:val="Hyperlink"/>
                <w:rFonts w:ascii="Perpetua" w:hAnsi="Perpetua" w:cs="Arial"/>
                <w:noProof/>
              </w:rPr>
              <w:t>4.1 Performance of the Deposit Insurance Fund</w:t>
            </w:r>
            <w:r>
              <w:rPr>
                <w:noProof/>
                <w:webHidden/>
              </w:rPr>
              <w:tab/>
            </w:r>
            <w:r>
              <w:rPr>
                <w:noProof/>
                <w:webHidden/>
              </w:rPr>
              <w:fldChar w:fldCharType="begin"/>
            </w:r>
            <w:r>
              <w:rPr>
                <w:noProof/>
                <w:webHidden/>
              </w:rPr>
              <w:instrText xml:space="preserve"> PAGEREF _Toc487804077 \h </w:instrText>
            </w:r>
            <w:r>
              <w:rPr>
                <w:noProof/>
                <w:webHidden/>
              </w:rPr>
            </w:r>
            <w:r>
              <w:rPr>
                <w:noProof/>
                <w:webHidden/>
              </w:rPr>
              <w:fldChar w:fldCharType="separate"/>
            </w:r>
            <w:r>
              <w:rPr>
                <w:noProof/>
                <w:webHidden/>
              </w:rPr>
              <w:t>27</w:t>
            </w:r>
            <w:r>
              <w:rPr>
                <w:noProof/>
                <w:webHidden/>
              </w:rPr>
              <w:fldChar w:fldCharType="end"/>
            </w:r>
          </w:hyperlink>
        </w:p>
        <w:p w14:paraId="52F8B2C1" w14:textId="77777777" w:rsidR="00E36A3D" w:rsidRDefault="00E36A3D">
          <w:pPr>
            <w:pStyle w:val="TOC2"/>
            <w:tabs>
              <w:tab w:val="left" w:pos="880"/>
              <w:tab w:val="right" w:leader="dot" w:pos="9016"/>
            </w:tabs>
            <w:rPr>
              <w:noProof/>
            </w:rPr>
          </w:pPr>
          <w:hyperlink w:anchor="_Toc487804078" w:history="1">
            <w:r w:rsidRPr="00AD512E">
              <w:rPr>
                <w:rStyle w:val="Hyperlink"/>
                <w:rFonts w:ascii="Perpetua" w:hAnsi="Perpetua"/>
                <w:noProof/>
              </w:rPr>
              <w:t>4.2.</w:t>
            </w:r>
            <w:r>
              <w:rPr>
                <w:noProof/>
              </w:rPr>
              <w:tab/>
            </w:r>
            <w:r w:rsidRPr="00AD512E">
              <w:rPr>
                <w:rStyle w:val="Hyperlink"/>
                <w:rFonts w:ascii="Perpetua" w:hAnsi="Perpetua"/>
                <w:noProof/>
              </w:rPr>
              <w:t>Key financial indicators</w:t>
            </w:r>
            <w:r>
              <w:rPr>
                <w:noProof/>
                <w:webHidden/>
              </w:rPr>
              <w:tab/>
            </w:r>
            <w:r>
              <w:rPr>
                <w:noProof/>
                <w:webHidden/>
              </w:rPr>
              <w:fldChar w:fldCharType="begin"/>
            </w:r>
            <w:r>
              <w:rPr>
                <w:noProof/>
                <w:webHidden/>
              </w:rPr>
              <w:instrText xml:space="preserve"> PAGEREF _Toc487804078 \h </w:instrText>
            </w:r>
            <w:r>
              <w:rPr>
                <w:noProof/>
                <w:webHidden/>
              </w:rPr>
            </w:r>
            <w:r>
              <w:rPr>
                <w:noProof/>
                <w:webHidden/>
              </w:rPr>
              <w:fldChar w:fldCharType="separate"/>
            </w:r>
            <w:r>
              <w:rPr>
                <w:noProof/>
                <w:webHidden/>
              </w:rPr>
              <w:t>28</w:t>
            </w:r>
            <w:r>
              <w:rPr>
                <w:noProof/>
                <w:webHidden/>
              </w:rPr>
              <w:fldChar w:fldCharType="end"/>
            </w:r>
          </w:hyperlink>
        </w:p>
        <w:p w14:paraId="29EE865C" w14:textId="77777777" w:rsidR="00E36A3D" w:rsidRDefault="00E36A3D">
          <w:pPr>
            <w:pStyle w:val="TOC2"/>
            <w:tabs>
              <w:tab w:val="right" w:leader="dot" w:pos="9016"/>
            </w:tabs>
            <w:rPr>
              <w:noProof/>
            </w:rPr>
          </w:pPr>
          <w:hyperlink w:anchor="_Toc487804079" w:history="1">
            <w:r w:rsidRPr="00AD512E">
              <w:rPr>
                <w:rStyle w:val="Hyperlink"/>
                <w:rFonts w:ascii="Perpetua" w:hAnsi="Perpetua"/>
                <w:noProof/>
              </w:rPr>
              <w:t>4.3. Coverage ratio of insured deposits in banks</w:t>
            </w:r>
            <w:r>
              <w:rPr>
                <w:noProof/>
                <w:webHidden/>
              </w:rPr>
              <w:tab/>
            </w:r>
            <w:r>
              <w:rPr>
                <w:noProof/>
                <w:webHidden/>
              </w:rPr>
              <w:fldChar w:fldCharType="begin"/>
            </w:r>
            <w:r>
              <w:rPr>
                <w:noProof/>
                <w:webHidden/>
              </w:rPr>
              <w:instrText xml:space="preserve"> PAGEREF _Toc487804079 \h </w:instrText>
            </w:r>
            <w:r>
              <w:rPr>
                <w:noProof/>
                <w:webHidden/>
              </w:rPr>
            </w:r>
            <w:r>
              <w:rPr>
                <w:noProof/>
                <w:webHidden/>
              </w:rPr>
              <w:fldChar w:fldCharType="separate"/>
            </w:r>
            <w:r>
              <w:rPr>
                <w:noProof/>
                <w:webHidden/>
              </w:rPr>
              <w:t>29</w:t>
            </w:r>
            <w:r>
              <w:rPr>
                <w:noProof/>
                <w:webHidden/>
              </w:rPr>
              <w:fldChar w:fldCharType="end"/>
            </w:r>
          </w:hyperlink>
        </w:p>
        <w:p w14:paraId="3EA52EA5" w14:textId="77777777" w:rsidR="00E36A3D" w:rsidRDefault="00E36A3D">
          <w:pPr>
            <w:pStyle w:val="TOC2"/>
            <w:tabs>
              <w:tab w:val="right" w:leader="dot" w:pos="9016"/>
            </w:tabs>
            <w:rPr>
              <w:noProof/>
            </w:rPr>
          </w:pPr>
          <w:hyperlink w:anchor="_Toc487804080" w:history="1">
            <w:r w:rsidRPr="00AD512E">
              <w:rPr>
                <w:rStyle w:val="Hyperlink"/>
                <w:rFonts w:ascii="Perpetua" w:hAnsi="Perpetua"/>
                <w:noProof/>
              </w:rPr>
              <w:t>4.4. Financial assets management</w:t>
            </w:r>
            <w:r>
              <w:rPr>
                <w:noProof/>
                <w:webHidden/>
              </w:rPr>
              <w:tab/>
            </w:r>
            <w:r>
              <w:rPr>
                <w:noProof/>
                <w:webHidden/>
              </w:rPr>
              <w:fldChar w:fldCharType="begin"/>
            </w:r>
            <w:r>
              <w:rPr>
                <w:noProof/>
                <w:webHidden/>
              </w:rPr>
              <w:instrText xml:space="preserve"> PAGEREF _Toc487804080 \h </w:instrText>
            </w:r>
            <w:r>
              <w:rPr>
                <w:noProof/>
                <w:webHidden/>
              </w:rPr>
            </w:r>
            <w:r>
              <w:rPr>
                <w:noProof/>
                <w:webHidden/>
              </w:rPr>
              <w:fldChar w:fldCharType="separate"/>
            </w:r>
            <w:r>
              <w:rPr>
                <w:noProof/>
                <w:webHidden/>
              </w:rPr>
              <w:t>32</w:t>
            </w:r>
            <w:r>
              <w:rPr>
                <w:noProof/>
                <w:webHidden/>
              </w:rPr>
              <w:fldChar w:fldCharType="end"/>
            </w:r>
          </w:hyperlink>
        </w:p>
        <w:p w14:paraId="61FB44C2" w14:textId="77777777" w:rsidR="00E36A3D" w:rsidRDefault="00E36A3D">
          <w:pPr>
            <w:pStyle w:val="TOC2"/>
            <w:tabs>
              <w:tab w:val="right" w:leader="dot" w:pos="9016"/>
            </w:tabs>
            <w:rPr>
              <w:noProof/>
            </w:rPr>
          </w:pPr>
          <w:hyperlink w:anchor="_Toc487804081" w:history="1">
            <w:r w:rsidRPr="00AD512E">
              <w:rPr>
                <w:rStyle w:val="Hyperlink"/>
                <w:rFonts w:ascii="Perpetua" w:hAnsi="Perpetua"/>
                <w:noProof/>
              </w:rPr>
              <w:t>4.5. Financial resources available to the Agency</w:t>
            </w:r>
            <w:r>
              <w:rPr>
                <w:noProof/>
                <w:webHidden/>
              </w:rPr>
              <w:tab/>
            </w:r>
            <w:r>
              <w:rPr>
                <w:noProof/>
                <w:webHidden/>
              </w:rPr>
              <w:fldChar w:fldCharType="begin"/>
            </w:r>
            <w:r>
              <w:rPr>
                <w:noProof/>
                <w:webHidden/>
              </w:rPr>
              <w:instrText xml:space="preserve"> PAGEREF _Toc487804081 \h </w:instrText>
            </w:r>
            <w:r>
              <w:rPr>
                <w:noProof/>
                <w:webHidden/>
              </w:rPr>
            </w:r>
            <w:r>
              <w:rPr>
                <w:noProof/>
                <w:webHidden/>
              </w:rPr>
              <w:fldChar w:fldCharType="separate"/>
            </w:r>
            <w:r>
              <w:rPr>
                <w:noProof/>
                <w:webHidden/>
              </w:rPr>
              <w:t>34</w:t>
            </w:r>
            <w:r>
              <w:rPr>
                <w:noProof/>
                <w:webHidden/>
              </w:rPr>
              <w:fldChar w:fldCharType="end"/>
            </w:r>
          </w:hyperlink>
        </w:p>
        <w:p w14:paraId="7F89B7FD" w14:textId="77777777" w:rsidR="00E36A3D" w:rsidRDefault="00E36A3D">
          <w:pPr>
            <w:pStyle w:val="TOC3"/>
            <w:tabs>
              <w:tab w:val="right" w:leader="dot" w:pos="9016"/>
            </w:tabs>
            <w:rPr>
              <w:noProof/>
            </w:rPr>
          </w:pPr>
          <w:hyperlink w:anchor="_Toc487804082" w:history="1">
            <w:r w:rsidRPr="00AD512E">
              <w:rPr>
                <w:rStyle w:val="Hyperlink"/>
                <w:rFonts w:ascii="Perpetua" w:hAnsi="Perpetua"/>
                <w:noProof/>
              </w:rPr>
              <w:t>4.5.1. Deposit insurance funds</w:t>
            </w:r>
            <w:r>
              <w:rPr>
                <w:noProof/>
                <w:webHidden/>
              </w:rPr>
              <w:tab/>
            </w:r>
            <w:r>
              <w:rPr>
                <w:noProof/>
                <w:webHidden/>
              </w:rPr>
              <w:fldChar w:fldCharType="begin"/>
            </w:r>
            <w:r>
              <w:rPr>
                <w:noProof/>
                <w:webHidden/>
              </w:rPr>
              <w:instrText xml:space="preserve"> PAGEREF _Toc487804082 \h </w:instrText>
            </w:r>
            <w:r>
              <w:rPr>
                <w:noProof/>
                <w:webHidden/>
              </w:rPr>
            </w:r>
            <w:r>
              <w:rPr>
                <w:noProof/>
                <w:webHidden/>
              </w:rPr>
              <w:fldChar w:fldCharType="separate"/>
            </w:r>
            <w:r>
              <w:rPr>
                <w:noProof/>
                <w:webHidden/>
              </w:rPr>
              <w:t>34</w:t>
            </w:r>
            <w:r>
              <w:rPr>
                <w:noProof/>
                <w:webHidden/>
              </w:rPr>
              <w:fldChar w:fldCharType="end"/>
            </w:r>
          </w:hyperlink>
        </w:p>
        <w:p w14:paraId="61646C3B" w14:textId="77777777" w:rsidR="00E36A3D" w:rsidRDefault="00E36A3D">
          <w:pPr>
            <w:pStyle w:val="TOC3"/>
            <w:tabs>
              <w:tab w:val="right" w:leader="dot" w:pos="9016"/>
            </w:tabs>
            <w:rPr>
              <w:noProof/>
            </w:rPr>
          </w:pPr>
          <w:hyperlink w:anchor="_Toc487804083" w:history="1">
            <w:r w:rsidRPr="00AD512E">
              <w:rPr>
                <w:rStyle w:val="Hyperlink"/>
                <w:rFonts w:ascii="Perpetua" w:hAnsi="Perpetua"/>
                <w:noProof/>
              </w:rPr>
              <w:t>4.5.2. Loan Agreements</w:t>
            </w:r>
            <w:r>
              <w:rPr>
                <w:noProof/>
                <w:webHidden/>
              </w:rPr>
              <w:tab/>
            </w:r>
            <w:r>
              <w:rPr>
                <w:noProof/>
                <w:webHidden/>
              </w:rPr>
              <w:fldChar w:fldCharType="begin"/>
            </w:r>
            <w:r>
              <w:rPr>
                <w:noProof/>
                <w:webHidden/>
              </w:rPr>
              <w:instrText xml:space="preserve"> PAGEREF _Toc487804083 \h </w:instrText>
            </w:r>
            <w:r>
              <w:rPr>
                <w:noProof/>
                <w:webHidden/>
              </w:rPr>
            </w:r>
            <w:r>
              <w:rPr>
                <w:noProof/>
                <w:webHidden/>
              </w:rPr>
              <w:fldChar w:fldCharType="separate"/>
            </w:r>
            <w:r>
              <w:rPr>
                <w:noProof/>
                <w:webHidden/>
              </w:rPr>
              <w:t>34</w:t>
            </w:r>
            <w:r>
              <w:rPr>
                <w:noProof/>
                <w:webHidden/>
              </w:rPr>
              <w:fldChar w:fldCharType="end"/>
            </w:r>
          </w:hyperlink>
        </w:p>
        <w:p w14:paraId="6498EF12" w14:textId="77777777" w:rsidR="00E36A3D" w:rsidRDefault="00E36A3D">
          <w:pPr>
            <w:pStyle w:val="TOC3"/>
            <w:tabs>
              <w:tab w:val="right" w:leader="dot" w:pos="9016"/>
            </w:tabs>
            <w:rPr>
              <w:noProof/>
            </w:rPr>
          </w:pPr>
          <w:hyperlink w:anchor="_Toc487804084" w:history="1">
            <w:r w:rsidRPr="00AD512E">
              <w:rPr>
                <w:rStyle w:val="Hyperlink"/>
                <w:rFonts w:ascii="Perpetua" w:hAnsi="Perpetua"/>
                <w:noProof/>
              </w:rPr>
              <w:t>4.5.3. The insurance premiums and the special contribution</w:t>
            </w:r>
            <w:r>
              <w:rPr>
                <w:noProof/>
                <w:webHidden/>
              </w:rPr>
              <w:tab/>
            </w:r>
            <w:r>
              <w:rPr>
                <w:noProof/>
                <w:webHidden/>
              </w:rPr>
              <w:fldChar w:fldCharType="begin"/>
            </w:r>
            <w:r>
              <w:rPr>
                <w:noProof/>
                <w:webHidden/>
              </w:rPr>
              <w:instrText xml:space="preserve"> PAGEREF _Toc487804084 \h </w:instrText>
            </w:r>
            <w:r>
              <w:rPr>
                <w:noProof/>
                <w:webHidden/>
              </w:rPr>
            </w:r>
            <w:r>
              <w:rPr>
                <w:noProof/>
                <w:webHidden/>
              </w:rPr>
              <w:fldChar w:fldCharType="separate"/>
            </w:r>
            <w:r>
              <w:rPr>
                <w:noProof/>
                <w:webHidden/>
              </w:rPr>
              <w:t>35</w:t>
            </w:r>
            <w:r>
              <w:rPr>
                <w:noProof/>
                <w:webHidden/>
              </w:rPr>
              <w:fldChar w:fldCharType="end"/>
            </w:r>
          </w:hyperlink>
        </w:p>
        <w:p w14:paraId="5A1864FF" w14:textId="77777777" w:rsidR="00E36A3D" w:rsidRDefault="00E36A3D">
          <w:pPr>
            <w:pStyle w:val="TOC3"/>
            <w:tabs>
              <w:tab w:val="right" w:leader="dot" w:pos="9016"/>
            </w:tabs>
            <w:rPr>
              <w:noProof/>
            </w:rPr>
          </w:pPr>
          <w:hyperlink w:anchor="_Toc487804085" w:history="1">
            <w:r w:rsidRPr="00AD512E">
              <w:rPr>
                <w:rStyle w:val="Hyperlink"/>
                <w:rFonts w:ascii="Perpetua" w:hAnsi="Perpetua"/>
                <w:noProof/>
              </w:rPr>
              <w:t>4.5.4. State Budget</w:t>
            </w:r>
            <w:r>
              <w:rPr>
                <w:noProof/>
                <w:webHidden/>
              </w:rPr>
              <w:tab/>
            </w:r>
            <w:r>
              <w:rPr>
                <w:noProof/>
                <w:webHidden/>
              </w:rPr>
              <w:fldChar w:fldCharType="begin"/>
            </w:r>
            <w:r>
              <w:rPr>
                <w:noProof/>
                <w:webHidden/>
              </w:rPr>
              <w:instrText xml:space="preserve"> PAGEREF _Toc487804085 \h </w:instrText>
            </w:r>
            <w:r>
              <w:rPr>
                <w:noProof/>
                <w:webHidden/>
              </w:rPr>
            </w:r>
            <w:r>
              <w:rPr>
                <w:noProof/>
                <w:webHidden/>
              </w:rPr>
              <w:fldChar w:fldCharType="separate"/>
            </w:r>
            <w:r>
              <w:rPr>
                <w:noProof/>
                <w:webHidden/>
              </w:rPr>
              <w:t>35</w:t>
            </w:r>
            <w:r>
              <w:rPr>
                <w:noProof/>
                <w:webHidden/>
              </w:rPr>
              <w:fldChar w:fldCharType="end"/>
            </w:r>
          </w:hyperlink>
        </w:p>
        <w:p w14:paraId="74E77435" w14:textId="77777777" w:rsidR="00E36A3D" w:rsidRDefault="00E36A3D">
          <w:pPr>
            <w:pStyle w:val="TOC1"/>
            <w:tabs>
              <w:tab w:val="right" w:leader="dot" w:pos="9016"/>
            </w:tabs>
            <w:rPr>
              <w:noProof/>
            </w:rPr>
          </w:pPr>
          <w:hyperlink w:anchor="_Toc487804086" w:history="1">
            <w:r w:rsidRPr="00AD512E">
              <w:rPr>
                <w:rStyle w:val="Hyperlink"/>
                <w:rFonts w:ascii="Perpetua" w:hAnsi="Perpetua"/>
                <w:b/>
                <w:noProof/>
              </w:rPr>
              <w:t>Section 5 –</w:t>
            </w:r>
            <w:r w:rsidRPr="00AD512E">
              <w:rPr>
                <w:rStyle w:val="Hyperlink"/>
                <w:rFonts w:ascii="Perpetua" w:hAnsi="Perpetua"/>
                <w:b/>
                <w:noProof/>
                <w:u w:color="FF0000"/>
              </w:rPr>
              <w:t>Governance of the Agency</w:t>
            </w:r>
            <w:r>
              <w:rPr>
                <w:noProof/>
                <w:webHidden/>
              </w:rPr>
              <w:tab/>
            </w:r>
            <w:r>
              <w:rPr>
                <w:noProof/>
                <w:webHidden/>
              </w:rPr>
              <w:fldChar w:fldCharType="begin"/>
            </w:r>
            <w:r>
              <w:rPr>
                <w:noProof/>
                <w:webHidden/>
              </w:rPr>
              <w:instrText xml:space="preserve"> PAGEREF _Toc487804086 \h </w:instrText>
            </w:r>
            <w:r>
              <w:rPr>
                <w:noProof/>
                <w:webHidden/>
              </w:rPr>
            </w:r>
            <w:r>
              <w:rPr>
                <w:noProof/>
                <w:webHidden/>
              </w:rPr>
              <w:fldChar w:fldCharType="separate"/>
            </w:r>
            <w:r>
              <w:rPr>
                <w:noProof/>
                <w:webHidden/>
              </w:rPr>
              <w:t>36</w:t>
            </w:r>
            <w:r>
              <w:rPr>
                <w:noProof/>
                <w:webHidden/>
              </w:rPr>
              <w:fldChar w:fldCharType="end"/>
            </w:r>
          </w:hyperlink>
        </w:p>
        <w:p w14:paraId="6E6212D5" w14:textId="77777777" w:rsidR="00E36A3D" w:rsidRDefault="00E36A3D">
          <w:pPr>
            <w:pStyle w:val="TOC2"/>
            <w:tabs>
              <w:tab w:val="left" w:pos="880"/>
              <w:tab w:val="right" w:leader="dot" w:pos="9016"/>
            </w:tabs>
            <w:rPr>
              <w:noProof/>
            </w:rPr>
          </w:pPr>
          <w:hyperlink w:anchor="_Toc487804087" w:history="1">
            <w:r w:rsidRPr="00AD512E">
              <w:rPr>
                <w:rStyle w:val="Hyperlink"/>
                <w:rFonts w:ascii="Perpetua" w:hAnsi="Perpetua"/>
                <w:b/>
                <w:noProof/>
              </w:rPr>
              <w:t>5.1.</w:t>
            </w:r>
            <w:r>
              <w:rPr>
                <w:noProof/>
              </w:rPr>
              <w:tab/>
            </w:r>
            <w:r w:rsidRPr="00AD512E">
              <w:rPr>
                <w:rStyle w:val="Hyperlink"/>
                <w:rFonts w:ascii="Perpetua" w:hAnsi="Perpetua"/>
                <w:b/>
                <w:noProof/>
              </w:rPr>
              <w:t>Board of Directors</w:t>
            </w:r>
            <w:r>
              <w:rPr>
                <w:noProof/>
                <w:webHidden/>
              </w:rPr>
              <w:tab/>
            </w:r>
            <w:r>
              <w:rPr>
                <w:noProof/>
                <w:webHidden/>
              </w:rPr>
              <w:fldChar w:fldCharType="begin"/>
            </w:r>
            <w:r>
              <w:rPr>
                <w:noProof/>
                <w:webHidden/>
              </w:rPr>
              <w:instrText xml:space="preserve"> PAGEREF _Toc487804087 \h </w:instrText>
            </w:r>
            <w:r>
              <w:rPr>
                <w:noProof/>
                <w:webHidden/>
              </w:rPr>
            </w:r>
            <w:r>
              <w:rPr>
                <w:noProof/>
                <w:webHidden/>
              </w:rPr>
              <w:fldChar w:fldCharType="separate"/>
            </w:r>
            <w:r>
              <w:rPr>
                <w:noProof/>
                <w:webHidden/>
              </w:rPr>
              <w:t>36</w:t>
            </w:r>
            <w:r>
              <w:rPr>
                <w:noProof/>
                <w:webHidden/>
              </w:rPr>
              <w:fldChar w:fldCharType="end"/>
            </w:r>
          </w:hyperlink>
        </w:p>
        <w:p w14:paraId="43795FB4" w14:textId="77777777" w:rsidR="00E36A3D" w:rsidRDefault="00E36A3D">
          <w:pPr>
            <w:pStyle w:val="TOC2"/>
            <w:tabs>
              <w:tab w:val="left" w:pos="880"/>
              <w:tab w:val="right" w:leader="dot" w:pos="9016"/>
            </w:tabs>
            <w:rPr>
              <w:noProof/>
            </w:rPr>
          </w:pPr>
          <w:hyperlink w:anchor="_Toc487804088" w:history="1">
            <w:r w:rsidRPr="00AD512E">
              <w:rPr>
                <w:rStyle w:val="Hyperlink"/>
                <w:rFonts w:ascii="Perpetua" w:eastAsiaTheme="majorEastAsia" w:hAnsi="Perpetua" w:cstheme="majorBidi"/>
                <w:b/>
                <w:noProof/>
                <w:lang w:val="sq-AL"/>
              </w:rPr>
              <w:t>5.2.</w:t>
            </w:r>
            <w:r>
              <w:rPr>
                <w:noProof/>
              </w:rPr>
              <w:tab/>
            </w:r>
            <w:r w:rsidRPr="00AD512E">
              <w:rPr>
                <w:rStyle w:val="Hyperlink"/>
                <w:rFonts w:ascii="Perpetua" w:eastAsiaTheme="majorEastAsia" w:hAnsi="Perpetua" w:cstheme="majorBidi"/>
                <w:b/>
                <w:noProof/>
                <w:lang w:val="sq-AL"/>
              </w:rPr>
              <w:t>Organizational structure</w:t>
            </w:r>
            <w:r>
              <w:rPr>
                <w:noProof/>
                <w:webHidden/>
              </w:rPr>
              <w:tab/>
            </w:r>
            <w:r>
              <w:rPr>
                <w:noProof/>
                <w:webHidden/>
              </w:rPr>
              <w:fldChar w:fldCharType="begin"/>
            </w:r>
            <w:r>
              <w:rPr>
                <w:noProof/>
                <w:webHidden/>
              </w:rPr>
              <w:instrText xml:space="preserve"> PAGEREF _Toc487804088 \h </w:instrText>
            </w:r>
            <w:r>
              <w:rPr>
                <w:noProof/>
                <w:webHidden/>
              </w:rPr>
            </w:r>
            <w:r>
              <w:rPr>
                <w:noProof/>
                <w:webHidden/>
              </w:rPr>
              <w:fldChar w:fldCharType="separate"/>
            </w:r>
            <w:r>
              <w:rPr>
                <w:noProof/>
                <w:webHidden/>
              </w:rPr>
              <w:t>38</w:t>
            </w:r>
            <w:r>
              <w:rPr>
                <w:noProof/>
                <w:webHidden/>
              </w:rPr>
              <w:fldChar w:fldCharType="end"/>
            </w:r>
          </w:hyperlink>
        </w:p>
        <w:p w14:paraId="22594CA4" w14:textId="77777777" w:rsidR="00E36A3D" w:rsidRDefault="00E36A3D">
          <w:pPr>
            <w:pStyle w:val="TOC2"/>
            <w:tabs>
              <w:tab w:val="left" w:pos="880"/>
              <w:tab w:val="right" w:leader="dot" w:pos="9016"/>
            </w:tabs>
            <w:rPr>
              <w:noProof/>
            </w:rPr>
          </w:pPr>
          <w:hyperlink w:anchor="_Toc487804089" w:history="1">
            <w:r w:rsidRPr="00AD512E">
              <w:rPr>
                <w:rStyle w:val="Hyperlink"/>
                <w:rFonts w:ascii="Perpetua" w:eastAsiaTheme="majorEastAsia" w:hAnsi="Perpetua" w:cstheme="majorBidi"/>
                <w:b/>
                <w:noProof/>
                <w:lang w:val="sq-AL"/>
              </w:rPr>
              <w:t>5.3.</w:t>
            </w:r>
            <w:r>
              <w:rPr>
                <w:noProof/>
              </w:rPr>
              <w:tab/>
            </w:r>
            <w:r w:rsidRPr="00AD512E">
              <w:rPr>
                <w:rStyle w:val="Hyperlink"/>
                <w:rFonts w:ascii="Perpetua" w:eastAsiaTheme="majorEastAsia" w:hAnsi="Perpetua" w:cstheme="majorBidi"/>
                <w:b/>
                <w:noProof/>
                <w:lang w:val="sq-AL"/>
              </w:rPr>
              <w:t>Internal audit</w:t>
            </w:r>
            <w:r>
              <w:rPr>
                <w:noProof/>
                <w:webHidden/>
              </w:rPr>
              <w:tab/>
            </w:r>
            <w:r>
              <w:rPr>
                <w:noProof/>
                <w:webHidden/>
              </w:rPr>
              <w:fldChar w:fldCharType="begin"/>
            </w:r>
            <w:r>
              <w:rPr>
                <w:noProof/>
                <w:webHidden/>
              </w:rPr>
              <w:instrText xml:space="preserve"> PAGEREF _Toc487804089 \h </w:instrText>
            </w:r>
            <w:r>
              <w:rPr>
                <w:noProof/>
                <w:webHidden/>
              </w:rPr>
            </w:r>
            <w:r>
              <w:rPr>
                <w:noProof/>
                <w:webHidden/>
              </w:rPr>
              <w:fldChar w:fldCharType="separate"/>
            </w:r>
            <w:r>
              <w:rPr>
                <w:noProof/>
                <w:webHidden/>
              </w:rPr>
              <w:t>42</w:t>
            </w:r>
            <w:r>
              <w:rPr>
                <w:noProof/>
                <w:webHidden/>
              </w:rPr>
              <w:fldChar w:fldCharType="end"/>
            </w:r>
          </w:hyperlink>
        </w:p>
        <w:p w14:paraId="525D21E0" w14:textId="56DDF7A8" w:rsidR="00E36A3D" w:rsidRDefault="00E36A3D">
          <w:r>
            <w:rPr>
              <w:b/>
              <w:bCs/>
              <w:noProof/>
            </w:rPr>
            <w:fldChar w:fldCharType="end"/>
          </w:r>
        </w:p>
      </w:sdtContent>
    </w:sdt>
    <w:bookmarkEnd w:id="19"/>
    <w:p w14:paraId="3FC46EA1" w14:textId="77777777" w:rsidR="00E36A3D" w:rsidRDefault="00E36A3D" w:rsidP="00951828">
      <w:pPr>
        <w:pStyle w:val="Heading1"/>
        <w:spacing w:after="240"/>
        <w:rPr>
          <w:rFonts w:ascii="Perpetua" w:hAnsi="Perpetua"/>
          <w:b/>
          <w:color w:val="auto"/>
          <w:lang w:val="sq-AL"/>
        </w:rPr>
      </w:pPr>
    </w:p>
    <w:p w14:paraId="242FA318" w14:textId="77777777" w:rsidR="00E36A3D" w:rsidRDefault="00E36A3D" w:rsidP="00E36A3D">
      <w:pPr>
        <w:rPr>
          <w:lang w:val="sq-AL"/>
        </w:rPr>
      </w:pPr>
    </w:p>
    <w:p w14:paraId="52909208" w14:textId="77777777" w:rsidR="00E36A3D" w:rsidRPr="00E36A3D" w:rsidRDefault="00E36A3D" w:rsidP="00E36A3D">
      <w:pPr>
        <w:rPr>
          <w:lang w:val="sq-AL"/>
        </w:rPr>
        <w:sectPr w:rsidR="00E36A3D" w:rsidRPr="00E36A3D">
          <w:pgSz w:w="11906" w:h="16838"/>
          <w:pgMar w:top="1440" w:right="1440" w:bottom="1440" w:left="1440" w:header="708" w:footer="708" w:gutter="0"/>
          <w:cols w:space="708"/>
          <w:docGrid w:linePitch="360"/>
        </w:sectPr>
      </w:pPr>
    </w:p>
    <w:p w14:paraId="30D9DCB1" w14:textId="6F6CE61A" w:rsidR="00951828" w:rsidRPr="000E67C8" w:rsidRDefault="00951828" w:rsidP="00951828">
      <w:pPr>
        <w:pStyle w:val="Heading1"/>
        <w:spacing w:after="240"/>
        <w:rPr>
          <w:rFonts w:ascii="Perpetua" w:hAnsi="Perpetua"/>
          <w:b/>
          <w:color w:val="auto"/>
        </w:rPr>
      </w:pPr>
      <w:bookmarkStart w:id="20" w:name="_Toc487804053"/>
      <w:r w:rsidRPr="000E67C8">
        <w:rPr>
          <w:rFonts w:ascii="Perpetua" w:hAnsi="Perpetua"/>
          <w:b/>
          <w:color w:val="auto"/>
        </w:rPr>
        <w:lastRenderedPageBreak/>
        <w:t xml:space="preserve">Section 1 - </w:t>
      </w:r>
      <w:bookmarkEnd w:id="1"/>
      <w:bookmarkEnd w:id="2"/>
      <w:r w:rsidRPr="000E67C8">
        <w:rPr>
          <w:rFonts w:ascii="Perpetua" w:hAnsi="Perpetua"/>
          <w:b/>
          <w:color w:val="auto"/>
          <w:u w:val="thick" w:color="FF0000"/>
        </w:rPr>
        <w:t>Introduction</w:t>
      </w:r>
      <w:bookmarkEnd w:id="20"/>
    </w:p>
    <w:p w14:paraId="30F44DB7" w14:textId="77777777" w:rsidR="000A3B24" w:rsidRPr="000E67C8" w:rsidRDefault="000A3B24" w:rsidP="000A3B24">
      <w:pPr>
        <w:pStyle w:val="Heading2"/>
        <w:numPr>
          <w:ilvl w:val="1"/>
          <w:numId w:val="1"/>
        </w:numPr>
        <w:rPr>
          <w:rFonts w:ascii="Perpetua" w:eastAsia="Times New Roman" w:hAnsi="Perpetua"/>
          <w:b/>
          <w:bCs/>
          <w:color w:val="FF0000"/>
          <w:sz w:val="28"/>
          <w:szCs w:val="28"/>
        </w:rPr>
      </w:pPr>
      <w:bookmarkStart w:id="21" w:name="_Toc487804054"/>
      <w:r w:rsidRPr="000E67C8">
        <w:rPr>
          <w:rFonts w:ascii="Perpetua" w:eastAsia="Times New Roman" w:hAnsi="Perpetua"/>
          <w:b/>
          <w:bCs/>
          <w:color w:val="FF0000"/>
          <w:sz w:val="28"/>
          <w:szCs w:val="28"/>
        </w:rPr>
        <w:t>Message of the Chair of the Board of Directors and General Director</w:t>
      </w:r>
      <w:bookmarkEnd w:id="3"/>
      <w:bookmarkEnd w:id="21"/>
    </w:p>
    <w:p w14:paraId="27563009" w14:textId="77777777" w:rsidR="000A3B24" w:rsidRPr="000E67C8" w:rsidRDefault="000A3B24" w:rsidP="000A3B24">
      <w:pPr>
        <w:spacing w:before="240" w:after="0" w:line="276" w:lineRule="auto"/>
        <w:jc w:val="both"/>
        <w:rPr>
          <w:rFonts w:ascii="Perpetua" w:hAnsi="Perpetua"/>
          <w:sz w:val="26"/>
          <w:szCs w:val="26"/>
        </w:rPr>
      </w:pPr>
      <w:r w:rsidRPr="000E67C8">
        <w:rPr>
          <w:rFonts w:ascii="Perpetua" w:hAnsi="Perpetua"/>
          <w:sz w:val="26"/>
          <w:szCs w:val="26"/>
        </w:rPr>
        <w:t>During 2015, the Albanian banking system remained healthy and with a positive trend, offering safety and enjoying the trust of Albanian and foreign clients. However, we at the Deposit Insurance Agency, believe that such progress and stability is not a reason for overconfidence.  Despite the market setting and financial condition of the banking sector, as deposit insurers, we are constantly committed in developing our capacities in order to respond to potential scenarios that require the Agency’s intervention, in pursuit of fulfilling our mandate.</w:t>
      </w:r>
    </w:p>
    <w:p w14:paraId="307D98D8" w14:textId="77777777" w:rsidR="000A3B24" w:rsidRPr="000E67C8" w:rsidRDefault="000A3B24" w:rsidP="000A3B24">
      <w:pPr>
        <w:spacing w:before="240" w:after="0" w:line="276" w:lineRule="auto"/>
        <w:jc w:val="both"/>
        <w:rPr>
          <w:rFonts w:ascii="Perpetua" w:hAnsi="Perpetua"/>
          <w:sz w:val="26"/>
          <w:szCs w:val="26"/>
        </w:rPr>
      </w:pPr>
      <w:r w:rsidRPr="000E67C8">
        <w:rPr>
          <w:rFonts w:ascii="Perpetua" w:hAnsi="Perpetua"/>
          <w:sz w:val="26"/>
          <w:szCs w:val="26"/>
        </w:rPr>
        <w:t>In the past year the Agency has made significant progress in successfully accomplishing the key strategies and objectives set for the year, in line with the performance indicators envisaged in the Strategic Plan 2015-2017:</w:t>
      </w:r>
    </w:p>
    <w:p w14:paraId="5D5D6C8F" w14:textId="77777777" w:rsidR="000A3B24" w:rsidRPr="000E67C8" w:rsidRDefault="000A3B24" w:rsidP="000A3B24">
      <w:pPr>
        <w:pStyle w:val="ListParagraph"/>
        <w:numPr>
          <w:ilvl w:val="0"/>
          <w:numId w:val="2"/>
        </w:numPr>
        <w:spacing w:before="240" w:after="0" w:line="276" w:lineRule="auto"/>
        <w:jc w:val="both"/>
        <w:rPr>
          <w:rFonts w:ascii="Perpetua" w:hAnsi="Perpetua"/>
          <w:sz w:val="26"/>
          <w:szCs w:val="26"/>
        </w:rPr>
      </w:pPr>
      <w:r w:rsidRPr="000E67C8">
        <w:rPr>
          <w:rFonts w:ascii="Perpetua" w:hAnsi="Perpetua"/>
          <w:i/>
          <w:iCs/>
          <w:color w:val="FF0000"/>
          <w:sz w:val="26"/>
          <w:szCs w:val="26"/>
        </w:rPr>
        <w:t>strengthening professional efficiency and readiness for pay-out</w:t>
      </w:r>
      <w:r w:rsidRPr="000E67C8">
        <w:rPr>
          <w:rFonts w:ascii="Perpetua" w:hAnsi="Perpetua"/>
          <w:color w:val="FF0000"/>
          <w:sz w:val="26"/>
          <w:szCs w:val="26"/>
        </w:rPr>
        <w:t xml:space="preserve"> </w:t>
      </w:r>
      <w:r w:rsidRPr="000E67C8">
        <w:rPr>
          <w:rFonts w:ascii="Perpetua" w:hAnsi="Perpetua"/>
          <w:sz w:val="26"/>
          <w:szCs w:val="26"/>
        </w:rPr>
        <w:t>– the Agency conducted simulations among its staff and other financial safety net institutions in the country, to test its readiness for a potential payout. This also served to further improve the legal and regulatory framework for compensation;</w:t>
      </w:r>
    </w:p>
    <w:p w14:paraId="641A9ED6" w14:textId="77777777" w:rsidR="000A3B24" w:rsidRPr="000E67C8" w:rsidRDefault="000A3B24" w:rsidP="000A3B24">
      <w:pPr>
        <w:pStyle w:val="ListParagraph"/>
        <w:numPr>
          <w:ilvl w:val="0"/>
          <w:numId w:val="2"/>
        </w:numPr>
        <w:spacing w:before="240" w:after="0" w:line="276" w:lineRule="auto"/>
        <w:jc w:val="both"/>
        <w:rPr>
          <w:rFonts w:ascii="Perpetua" w:hAnsi="Perpetua"/>
          <w:sz w:val="26"/>
          <w:szCs w:val="26"/>
        </w:rPr>
      </w:pPr>
      <w:r w:rsidRPr="000E67C8">
        <w:rPr>
          <w:rFonts w:ascii="Perpetua" w:hAnsi="Perpetua"/>
          <w:i/>
          <w:iCs/>
          <w:color w:val="FF0000"/>
          <w:sz w:val="26"/>
          <w:szCs w:val="26"/>
        </w:rPr>
        <w:t>increasing the level of depositor awareness</w:t>
      </w:r>
      <w:r w:rsidRPr="000E67C8">
        <w:rPr>
          <w:rFonts w:ascii="Perpetua" w:hAnsi="Perpetua"/>
          <w:color w:val="FF0000"/>
          <w:sz w:val="26"/>
          <w:szCs w:val="26"/>
        </w:rPr>
        <w:t xml:space="preserve"> </w:t>
      </w:r>
      <w:r w:rsidRPr="000E67C8">
        <w:rPr>
          <w:rFonts w:ascii="Perpetua" w:hAnsi="Perpetua"/>
          <w:sz w:val="26"/>
          <w:szCs w:val="26"/>
        </w:rPr>
        <w:t>– the Agency further intensified its relations with the banking sector as a strategic partner for the promotion of deposit insurance scheme, as well as utilised a number of other mediums to communicate with the public.</w:t>
      </w:r>
    </w:p>
    <w:p w14:paraId="6C4C5F5E" w14:textId="77777777" w:rsidR="000A3B24" w:rsidRPr="000E67C8" w:rsidRDefault="000A3B24" w:rsidP="000A3B24">
      <w:pPr>
        <w:pStyle w:val="ListParagraph"/>
        <w:numPr>
          <w:ilvl w:val="0"/>
          <w:numId w:val="2"/>
        </w:numPr>
        <w:spacing w:before="240" w:after="0" w:line="276" w:lineRule="auto"/>
        <w:jc w:val="both"/>
        <w:rPr>
          <w:rFonts w:ascii="Perpetua" w:hAnsi="Perpetua"/>
          <w:sz w:val="26"/>
          <w:szCs w:val="26"/>
        </w:rPr>
      </w:pPr>
      <w:r w:rsidRPr="000E67C8">
        <w:rPr>
          <w:rFonts w:ascii="Perpetua" w:hAnsi="Perpetua"/>
          <w:i/>
          <w:iCs/>
          <w:color w:val="FF0000"/>
          <w:sz w:val="26"/>
          <w:szCs w:val="26"/>
        </w:rPr>
        <w:t>efficient administration of the Agency</w:t>
      </w:r>
      <w:r w:rsidRPr="000E67C8">
        <w:rPr>
          <w:rFonts w:ascii="Perpetua" w:hAnsi="Perpetua"/>
          <w:color w:val="FF0000"/>
          <w:sz w:val="26"/>
          <w:szCs w:val="26"/>
        </w:rPr>
        <w:t xml:space="preserve"> </w:t>
      </w:r>
      <w:r w:rsidRPr="000E67C8">
        <w:rPr>
          <w:rFonts w:ascii="Perpetua" w:hAnsi="Perpetua"/>
          <w:sz w:val="26"/>
          <w:szCs w:val="26"/>
        </w:rPr>
        <w:t>– the planning of a challenging and realistic budget for 2015 was successfully implemented in conformity with the Strategic Plan, thus enhancing the Agency’s operational efficiency.</w:t>
      </w:r>
    </w:p>
    <w:p w14:paraId="48F37B01" w14:textId="77777777" w:rsidR="000A3B24" w:rsidRPr="000E67C8" w:rsidRDefault="000A3B24" w:rsidP="000A3B24">
      <w:pPr>
        <w:spacing w:before="240" w:after="0" w:line="276" w:lineRule="auto"/>
        <w:jc w:val="both"/>
        <w:rPr>
          <w:rFonts w:ascii="Perpetua" w:hAnsi="Perpetua"/>
          <w:sz w:val="26"/>
          <w:szCs w:val="26"/>
        </w:rPr>
      </w:pPr>
      <w:r w:rsidRPr="000E67C8">
        <w:rPr>
          <w:rFonts w:ascii="Perpetua" w:hAnsi="Perpetua"/>
          <w:sz w:val="26"/>
          <w:szCs w:val="26"/>
        </w:rPr>
        <w:t>As members of the Financial Stability Advisory Group, the Agency is fully engaged in offering expertise through conducting studies, giving opinions and information, which are vital in the decision making of this forum, important for the financial safety in the country.</w:t>
      </w:r>
    </w:p>
    <w:p w14:paraId="3FC2B7E5" w14:textId="77777777" w:rsidR="000A3B24" w:rsidRPr="000E67C8" w:rsidRDefault="000A3B24" w:rsidP="000A3B24">
      <w:pPr>
        <w:spacing w:before="240" w:after="0" w:line="276" w:lineRule="auto"/>
        <w:jc w:val="both"/>
        <w:rPr>
          <w:rFonts w:ascii="Perpetua" w:hAnsi="Perpetua"/>
          <w:sz w:val="26"/>
          <w:szCs w:val="26"/>
        </w:rPr>
      </w:pPr>
      <w:r w:rsidRPr="000E67C8">
        <w:rPr>
          <w:rFonts w:ascii="Perpetua" w:hAnsi="Perpetua"/>
          <w:sz w:val="26"/>
          <w:szCs w:val="26"/>
        </w:rPr>
        <w:t>In addition, during 2015 the Agency intensified its ties with international organisations, aiming at updating the scheme with best practices in deposit insurance. In this context, of major importance was the cooperation with homologous institutions in the region which allowed for the exchange of experiences related to past insurance events.</w:t>
      </w:r>
    </w:p>
    <w:p w14:paraId="2C15A090" w14:textId="77777777" w:rsidR="000A3B24" w:rsidRPr="000E67C8" w:rsidRDefault="000A3B24" w:rsidP="000A3B24">
      <w:pPr>
        <w:spacing w:before="240" w:after="0" w:line="276" w:lineRule="auto"/>
        <w:jc w:val="both"/>
        <w:rPr>
          <w:rFonts w:ascii="Perpetua" w:hAnsi="Perpetua"/>
          <w:sz w:val="26"/>
          <w:szCs w:val="26"/>
        </w:rPr>
      </w:pPr>
      <w:r w:rsidRPr="000E67C8">
        <w:rPr>
          <w:rFonts w:ascii="Perpetua" w:hAnsi="Perpetua"/>
          <w:sz w:val="26"/>
          <w:szCs w:val="26"/>
        </w:rPr>
        <w:t xml:space="preserve">The Agency proposed a draft law which, among others, envisages the expansion of the deposit insurance scheme with legal persons. The provisions of this draft law follow the recommendations of the Albanian Parliament’s Resolution “For the evaluation of the activity of the Albanian Deposit Insurance Agency for year 2014”, as well as best international standards and practices. These </w:t>
      </w:r>
      <w:r w:rsidRPr="000E67C8">
        <w:rPr>
          <w:rFonts w:ascii="Perpetua" w:hAnsi="Perpetua"/>
          <w:sz w:val="26"/>
          <w:szCs w:val="26"/>
        </w:rPr>
        <w:lastRenderedPageBreak/>
        <w:t>proposed changes expand the base of the scheme’s beneficiaries, contributing towards strengthening financial stability in the country and increasing the trust of Albanian depositors.</w:t>
      </w:r>
    </w:p>
    <w:p w14:paraId="54BD7C05" w14:textId="77777777" w:rsidR="000A3B24" w:rsidRPr="000E67C8" w:rsidRDefault="000A3B24" w:rsidP="000A3B24">
      <w:pPr>
        <w:spacing w:before="240" w:after="0" w:line="276" w:lineRule="auto"/>
        <w:jc w:val="both"/>
        <w:rPr>
          <w:rFonts w:ascii="Perpetua" w:hAnsi="Perpetua"/>
          <w:sz w:val="26"/>
          <w:szCs w:val="26"/>
        </w:rPr>
      </w:pPr>
      <w:r w:rsidRPr="000E67C8">
        <w:rPr>
          <w:rFonts w:ascii="Perpetua" w:hAnsi="Perpetua"/>
          <w:sz w:val="26"/>
          <w:szCs w:val="26"/>
        </w:rPr>
        <w:t>As in previous years, in 2016 we will continue our work zealously in order to fulfil the Agency’s objectives. Intensifying simulations that test the institutions’ readiness for pay-out, including credit and savings associations in the scheme and further strengthening the public’s awareness on the deposit insurance scheme, are the three main aspects on which our work will focus. By this we aim to give Albanian depositors clarity, stability and safety, thus contributing in the sustainability of the financial system of the country.</w:t>
      </w:r>
    </w:p>
    <w:p w14:paraId="044B9F24" w14:textId="77777777" w:rsidR="000A3B24" w:rsidRPr="000E67C8" w:rsidRDefault="000A3B24" w:rsidP="000A3B24">
      <w:pPr>
        <w:spacing w:before="240" w:after="0" w:line="276" w:lineRule="auto"/>
        <w:jc w:val="both"/>
        <w:rPr>
          <w:rFonts w:ascii="Perpetua" w:hAnsi="Perpetua"/>
          <w:sz w:val="26"/>
          <w:szCs w:val="26"/>
        </w:rPr>
      </w:pPr>
      <w:r w:rsidRPr="000E67C8">
        <w:rPr>
          <w:rFonts w:ascii="Perpetua" w:hAnsi="Perpetua"/>
          <w:sz w:val="26"/>
          <w:szCs w:val="26"/>
        </w:rPr>
        <w:t>We are aware that it is of significant importance for us to be vigilant and ready at all times to fulfil our legal mandate. For this, we remain attentive to developments in the financial and banking system in the country, in order to be ready to respond to all kinds of challenges.</w:t>
      </w:r>
    </w:p>
    <w:p w14:paraId="6424DAF4" w14:textId="77777777" w:rsidR="000A3B24" w:rsidRPr="000E67C8" w:rsidRDefault="000A3B24" w:rsidP="000A3B24">
      <w:pPr>
        <w:spacing w:before="240" w:after="0" w:line="276" w:lineRule="auto"/>
        <w:jc w:val="both"/>
        <w:rPr>
          <w:rFonts w:ascii="Perpetua" w:hAnsi="Perpetua"/>
          <w:sz w:val="26"/>
          <w:szCs w:val="26"/>
        </w:rPr>
      </w:pPr>
      <w:r w:rsidRPr="000E67C8">
        <w:rPr>
          <w:rFonts w:ascii="Perpetua" w:hAnsi="Perpetua"/>
          <w:sz w:val="26"/>
          <w:szCs w:val="26"/>
        </w:rPr>
        <w:t>In this spirit, the Annual Report 2015 summarises the main projects and developments during this year, as well as the performance of deposits in the banking system and the deposit insurance fund in the Agency’s administration.</w:t>
      </w:r>
    </w:p>
    <w:p w14:paraId="74F0A94A" w14:textId="77777777" w:rsidR="000A3B24" w:rsidRPr="000E67C8" w:rsidRDefault="000A3B24" w:rsidP="000A3B24">
      <w:pPr>
        <w:spacing w:after="0" w:line="276" w:lineRule="auto"/>
        <w:jc w:val="both"/>
        <w:rPr>
          <w:rFonts w:ascii="Perpetua" w:hAnsi="Perpetua"/>
          <w:sz w:val="26"/>
          <w:szCs w:val="26"/>
        </w:rPr>
      </w:pPr>
    </w:p>
    <w:p w14:paraId="4F9B763D" w14:textId="77777777" w:rsidR="000A3B24" w:rsidRPr="000E67C8" w:rsidRDefault="000A3B24" w:rsidP="000A3B24">
      <w:pPr>
        <w:spacing w:after="0" w:line="276" w:lineRule="auto"/>
        <w:jc w:val="both"/>
        <w:rPr>
          <w:rFonts w:ascii="Perpetua" w:hAnsi="Perpetua"/>
          <w:sz w:val="26"/>
          <w:szCs w:val="26"/>
        </w:rPr>
      </w:pPr>
    </w:p>
    <w:tbl>
      <w:tblPr>
        <w:tblW w:w="0" w:type="auto"/>
        <w:tblCellMar>
          <w:left w:w="0" w:type="dxa"/>
          <w:right w:w="0" w:type="dxa"/>
        </w:tblCellMar>
        <w:tblLook w:val="04A0" w:firstRow="1" w:lastRow="0" w:firstColumn="1" w:lastColumn="0" w:noHBand="0" w:noVBand="1"/>
      </w:tblPr>
      <w:tblGrid>
        <w:gridCol w:w="4820"/>
        <w:gridCol w:w="4106"/>
      </w:tblGrid>
      <w:tr w:rsidR="000A3B24" w:rsidRPr="000E67C8" w14:paraId="184FD21C" w14:textId="77777777" w:rsidTr="000A3B24">
        <w:tc>
          <w:tcPr>
            <w:tcW w:w="4820" w:type="dxa"/>
            <w:tcMar>
              <w:top w:w="0" w:type="dxa"/>
              <w:left w:w="108" w:type="dxa"/>
              <w:bottom w:w="0" w:type="dxa"/>
              <w:right w:w="108" w:type="dxa"/>
            </w:tcMar>
            <w:hideMark/>
          </w:tcPr>
          <w:p w14:paraId="1A13F3D4" w14:textId="77777777" w:rsidR="000A3B24" w:rsidRPr="000E67C8" w:rsidRDefault="000A3B24">
            <w:pPr>
              <w:spacing w:after="0" w:line="276" w:lineRule="auto"/>
              <w:jc w:val="both"/>
              <w:rPr>
                <w:rFonts w:ascii="Perpetua" w:hAnsi="Perpetua"/>
                <w:sz w:val="26"/>
                <w:szCs w:val="26"/>
              </w:rPr>
            </w:pPr>
            <w:r w:rsidRPr="000E67C8">
              <w:rPr>
                <w:rFonts w:ascii="Perpetua" w:hAnsi="Perpetua"/>
                <w:sz w:val="26"/>
                <w:szCs w:val="26"/>
              </w:rPr>
              <w:t>Donald Duraj</w:t>
            </w:r>
          </w:p>
        </w:tc>
        <w:tc>
          <w:tcPr>
            <w:tcW w:w="4106" w:type="dxa"/>
            <w:tcMar>
              <w:top w:w="0" w:type="dxa"/>
              <w:left w:w="108" w:type="dxa"/>
              <w:bottom w:w="0" w:type="dxa"/>
              <w:right w:w="108" w:type="dxa"/>
            </w:tcMar>
            <w:hideMark/>
          </w:tcPr>
          <w:p w14:paraId="0A7DD48D" w14:textId="77777777" w:rsidR="000A3B24" w:rsidRPr="000E67C8" w:rsidRDefault="000A3B24">
            <w:pPr>
              <w:spacing w:after="0" w:line="276" w:lineRule="auto"/>
              <w:jc w:val="right"/>
              <w:rPr>
                <w:rFonts w:ascii="Perpetua" w:hAnsi="Perpetua"/>
                <w:sz w:val="26"/>
                <w:szCs w:val="26"/>
              </w:rPr>
            </w:pPr>
            <w:r w:rsidRPr="000E67C8">
              <w:rPr>
                <w:rFonts w:ascii="Perpetua" w:hAnsi="Perpetua"/>
                <w:sz w:val="26"/>
                <w:szCs w:val="26"/>
              </w:rPr>
              <w:t>Genci Mamani</w:t>
            </w:r>
          </w:p>
        </w:tc>
      </w:tr>
      <w:tr w:rsidR="000A3B24" w:rsidRPr="000E67C8" w14:paraId="0E55BD42" w14:textId="77777777" w:rsidTr="000A3B24">
        <w:tc>
          <w:tcPr>
            <w:tcW w:w="4820" w:type="dxa"/>
            <w:tcMar>
              <w:top w:w="0" w:type="dxa"/>
              <w:left w:w="108" w:type="dxa"/>
              <w:bottom w:w="0" w:type="dxa"/>
              <w:right w:w="108" w:type="dxa"/>
            </w:tcMar>
            <w:hideMark/>
          </w:tcPr>
          <w:p w14:paraId="493C2814" w14:textId="77777777" w:rsidR="000A3B24" w:rsidRPr="000E67C8" w:rsidRDefault="000A3B24">
            <w:pPr>
              <w:spacing w:after="0" w:line="276" w:lineRule="auto"/>
              <w:jc w:val="both"/>
              <w:rPr>
                <w:rFonts w:ascii="Perpetua" w:hAnsi="Perpetua"/>
                <w:sz w:val="26"/>
                <w:szCs w:val="26"/>
              </w:rPr>
            </w:pPr>
            <w:r w:rsidRPr="000E67C8">
              <w:rPr>
                <w:rFonts w:ascii="Perpetua" w:hAnsi="Perpetua"/>
                <w:sz w:val="26"/>
                <w:szCs w:val="26"/>
              </w:rPr>
              <w:t>Chair of the Board of Directors</w:t>
            </w:r>
          </w:p>
        </w:tc>
        <w:tc>
          <w:tcPr>
            <w:tcW w:w="4106" w:type="dxa"/>
            <w:tcMar>
              <w:top w:w="0" w:type="dxa"/>
              <w:left w:w="108" w:type="dxa"/>
              <w:bottom w:w="0" w:type="dxa"/>
              <w:right w:w="108" w:type="dxa"/>
            </w:tcMar>
            <w:hideMark/>
          </w:tcPr>
          <w:p w14:paraId="23DA720A" w14:textId="77777777" w:rsidR="000A3B24" w:rsidRPr="000E67C8" w:rsidRDefault="000A3B24">
            <w:pPr>
              <w:spacing w:after="0" w:line="276" w:lineRule="auto"/>
              <w:jc w:val="right"/>
              <w:rPr>
                <w:rFonts w:ascii="Perpetua" w:hAnsi="Perpetua"/>
                <w:sz w:val="26"/>
                <w:szCs w:val="26"/>
              </w:rPr>
            </w:pPr>
            <w:r w:rsidRPr="000E67C8">
              <w:rPr>
                <w:rFonts w:ascii="Perpetua" w:hAnsi="Perpetua"/>
                <w:sz w:val="26"/>
                <w:szCs w:val="26"/>
              </w:rPr>
              <w:t>General Director</w:t>
            </w:r>
          </w:p>
        </w:tc>
      </w:tr>
      <w:tr w:rsidR="000A3B24" w:rsidRPr="000E67C8" w14:paraId="558D9422" w14:textId="77777777" w:rsidTr="000A3B24">
        <w:tc>
          <w:tcPr>
            <w:tcW w:w="4820" w:type="dxa"/>
            <w:tcMar>
              <w:top w:w="0" w:type="dxa"/>
              <w:left w:w="108" w:type="dxa"/>
              <w:bottom w:w="0" w:type="dxa"/>
              <w:right w:w="108" w:type="dxa"/>
            </w:tcMar>
          </w:tcPr>
          <w:p w14:paraId="0A4A355E" w14:textId="77777777" w:rsidR="000A3B24" w:rsidRPr="000E67C8" w:rsidRDefault="000A3B24">
            <w:pPr>
              <w:spacing w:after="0" w:line="276" w:lineRule="auto"/>
              <w:jc w:val="both"/>
              <w:rPr>
                <w:rFonts w:ascii="Perpetua" w:hAnsi="Perpetua"/>
                <w:sz w:val="26"/>
                <w:szCs w:val="26"/>
              </w:rPr>
            </w:pPr>
          </w:p>
        </w:tc>
        <w:tc>
          <w:tcPr>
            <w:tcW w:w="4106" w:type="dxa"/>
            <w:tcMar>
              <w:top w:w="0" w:type="dxa"/>
              <w:left w:w="108" w:type="dxa"/>
              <w:bottom w:w="0" w:type="dxa"/>
              <w:right w:w="108" w:type="dxa"/>
            </w:tcMar>
          </w:tcPr>
          <w:p w14:paraId="5BEE06F4" w14:textId="77777777" w:rsidR="000A3B24" w:rsidRPr="000E67C8" w:rsidRDefault="000A3B24">
            <w:pPr>
              <w:spacing w:after="0" w:line="276" w:lineRule="auto"/>
              <w:jc w:val="right"/>
              <w:rPr>
                <w:rFonts w:ascii="Perpetua" w:hAnsi="Perpetua"/>
                <w:sz w:val="26"/>
                <w:szCs w:val="26"/>
              </w:rPr>
            </w:pPr>
          </w:p>
        </w:tc>
      </w:tr>
    </w:tbl>
    <w:p w14:paraId="3378BFDC" w14:textId="77777777" w:rsidR="000A3B24" w:rsidRPr="000E67C8" w:rsidRDefault="000A3B24" w:rsidP="000A3B24">
      <w:pPr>
        <w:rPr>
          <w:rFonts w:ascii="Perpetua" w:hAnsi="Perpetua"/>
        </w:rPr>
      </w:pPr>
    </w:p>
    <w:p w14:paraId="3A6516CA" w14:textId="77777777" w:rsidR="000F7CA2" w:rsidRPr="000E67C8" w:rsidRDefault="000F7CA2">
      <w:pPr>
        <w:rPr>
          <w:rFonts w:ascii="Perpetua" w:hAnsi="Perpetua"/>
        </w:rPr>
        <w:sectPr w:rsidR="000F7CA2" w:rsidRPr="000E67C8">
          <w:pgSz w:w="11906" w:h="16838"/>
          <w:pgMar w:top="1440" w:right="1440" w:bottom="1440" w:left="1440" w:header="708" w:footer="708" w:gutter="0"/>
          <w:cols w:space="708"/>
          <w:docGrid w:linePitch="360"/>
        </w:sectPr>
      </w:pPr>
    </w:p>
    <w:p w14:paraId="5328223E" w14:textId="77777777" w:rsidR="000F7CA2" w:rsidRPr="000E67C8" w:rsidRDefault="000F7CA2" w:rsidP="000F7CA2">
      <w:pPr>
        <w:pStyle w:val="Heading2"/>
        <w:keepLines/>
        <w:numPr>
          <w:ilvl w:val="1"/>
          <w:numId w:val="3"/>
        </w:numPr>
        <w:spacing w:line="259" w:lineRule="auto"/>
        <w:rPr>
          <w:rFonts w:ascii="Perpetua" w:hAnsi="Perpetua"/>
          <w:b/>
          <w:color w:val="FF0000"/>
          <w:sz w:val="28"/>
        </w:rPr>
      </w:pPr>
      <w:bookmarkStart w:id="22" w:name="_Toc487804055"/>
      <w:r w:rsidRPr="000E67C8">
        <w:rPr>
          <w:rFonts w:ascii="Perpetua" w:hAnsi="Perpetua"/>
          <w:b/>
          <w:color w:val="FF0000"/>
          <w:sz w:val="28"/>
        </w:rPr>
        <w:lastRenderedPageBreak/>
        <w:t>The Agency’s Profile</w:t>
      </w:r>
      <w:bookmarkEnd w:id="22"/>
    </w:p>
    <w:p w14:paraId="45B67CB7" w14:textId="77777777" w:rsidR="000F7CA2" w:rsidRPr="000E67C8" w:rsidRDefault="000F7CA2" w:rsidP="000F7CA2">
      <w:pPr>
        <w:spacing w:before="240" w:line="276" w:lineRule="auto"/>
        <w:jc w:val="both"/>
        <w:rPr>
          <w:rFonts w:ascii="Perpetua" w:hAnsi="Perpetua"/>
          <w:sz w:val="28"/>
          <w:szCs w:val="28"/>
        </w:rPr>
      </w:pPr>
      <w:r w:rsidRPr="000E67C8">
        <w:rPr>
          <w:rFonts w:ascii="Perpetua" w:hAnsi="Perpetua"/>
          <w:sz w:val="28"/>
          <w:szCs w:val="28"/>
        </w:rPr>
        <w:t>The Deposit Insurance Agency was established in 2002 and runs its activity in pursuit of law no. 53/2014, date 22.05.2014 “On Deposit Insurance”. The Agency’s mandate is the administration of the deposit insurance scheme, which ensures the deposits of individuals in all banks that operate in the Republic of Albania (16 banks). The law “On Deposit Insurance”, also empowers the Agency to insure deposits in credit and savings associations.</w:t>
      </w:r>
    </w:p>
    <w:p w14:paraId="04DB4A4E" w14:textId="77777777" w:rsidR="000F7CA2" w:rsidRPr="000E67C8" w:rsidRDefault="000F7CA2" w:rsidP="000F7CA2">
      <w:pPr>
        <w:spacing w:before="240" w:line="276" w:lineRule="auto"/>
        <w:jc w:val="both"/>
        <w:rPr>
          <w:rFonts w:ascii="Perpetua" w:hAnsi="Perpetua"/>
          <w:sz w:val="28"/>
          <w:szCs w:val="28"/>
        </w:rPr>
      </w:pPr>
      <w:r w:rsidRPr="000E67C8">
        <w:rPr>
          <w:rFonts w:ascii="Perpetua" w:hAnsi="Perpetua"/>
          <w:sz w:val="28"/>
          <w:szCs w:val="28"/>
        </w:rPr>
        <w:t>Based on the law “On Deposit Insurance”, the Agency insures up to 2.500.000 lek the deposits of individuals for each bank that is a member of the deposit insurance scheme. In addition, the Agency insures up to 2.000.000 lek the deposits of individuals for each savings-credit associations that is a member of the deposit insurance scheme.</w:t>
      </w:r>
    </w:p>
    <w:p w14:paraId="6BBE534C" w14:textId="77777777" w:rsidR="000F7CA2" w:rsidRPr="000E67C8" w:rsidRDefault="000F7CA2" w:rsidP="000F7CA2">
      <w:pPr>
        <w:spacing w:line="276" w:lineRule="auto"/>
        <w:jc w:val="both"/>
        <w:rPr>
          <w:rFonts w:ascii="Perpetua" w:hAnsi="Perpetua"/>
          <w:sz w:val="28"/>
          <w:szCs w:val="28"/>
        </w:rPr>
      </w:pPr>
      <w:r w:rsidRPr="000E67C8">
        <w:rPr>
          <w:rFonts w:ascii="Perpetua" w:hAnsi="Perpetua"/>
          <w:sz w:val="28"/>
          <w:szCs w:val="28"/>
        </w:rPr>
        <w:t>Deposits in foreign currency are insured up to the same amount but are compensated in lek, on the basis of the exchange rate on the day of intervention by the Supervisory Authority (Bank of Albania). According to the law, the Agency shall compensate depositors within 3 months from the day of intervention by the Bank of Albania in an insured subject. The Agency can also use other methods which would fulfil its obligation to compensate deposits, for example transferring funds (which represent insured depositor rights) in Purchase &amp; Assumption. The subjects that are member of the deposit insurance scheme pay quarterly insurance premiums to the Agency for insuring their deposits.</w:t>
      </w:r>
    </w:p>
    <w:p w14:paraId="7F8E76F4" w14:textId="77777777" w:rsidR="000F7CA2" w:rsidRPr="000E67C8" w:rsidRDefault="000F7CA2" w:rsidP="000F7CA2">
      <w:pPr>
        <w:tabs>
          <w:tab w:val="left" w:pos="720"/>
        </w:tabs>
        <w:spacing w:after="240" w:line="240" w:lineRule="auto"/>
        <w:jc w:val="both"/>
        <w:rPr>
          <w:rFonts w:ascii="Perpetua" w:hAnsi="Perpetua"/>
          <w:sz w:val="28"/>
          <w:szCs w:val="28"/>
        </w:rPr>
      </w:pPr>
      <w:r w:rsidRPr="000E67C8">
        <w:rPr>
          <w:rFonts w:ascii="Perpetua" w:hAnsi="Perpetua"/>
          <w:sz w:val="28"/>
          <w:szCs w:val="28"/>
        </w:rPr>
        <w:t xml:space="preserve">ADIA is administered by a Board of Directors and managed by the General Manager. ADIA is a ‘paybox’ system, in accordance with the standard determined by the International Association of Deposit Insurers (IADI). </w:t>
      </w:r>
    </w:p>
    <w:p w14:paraId="177661A9" w14:textId="77777777" w:rsidR="000F7CA2" w:rsidRPr="000E67C8" w:rsidRDefault="000F7CA2" w:rsidP="000F7CA2">
      <w:pPr>
        <w:spacing w:line="276" w:lineRule="auto"/>
        <w:jc w:val="both"/>
        <w:rPr>
          <w:rFonts w:ascii="Perpetua" w:hAnsi="Perpetua"/>
        </w:rPr>
        <w:sectPr w:rsidR="000F7CA2" w:rsidRPr="000E67C8">
          <w:pgSz w:w="11906" w:h="16838"/>
          <w:pgMar w:top="1440" w:right="1440" w:bottom="1440" w:left="1440" w:header="708" w:footer="708" w:gutter="0"/>
          <w:cols w:space="708"/>
          <w:docGrid w:linePitch="360"/>
        </w:sectPr>
      </w:pPr>
    </w:p>
    <w:p w14:paraId="338D3CFA" w14:textId="77777777" w:rsidR="000F7CA2" w:rsidRPr="000E67C8" w:rsidRDefault="000F7CA2" w:rsidP="000F7CA2">
      <w:pPr>
        <w:keepNext/>
        <w:keepLines/>
        <w:spacing w:before="240" w:after="240"/>
        <w:outlineLvl w:val="0"/>
        <w:rPr>
          <w:rFonts w:ascii="Perpetua" w:eastAsia="Times New Roman" w:hAnsi="Perpetua"/>
          <w:b/>
          <w:sz w:val="32"/>
          <w:szCs w:val="32"/>
        </w:rPr>
      </w:pPr>
      <w:bookmarkStart w:id="23" w:name="_Toc442780610"/>
      <w:bookmarkStart w:id="24" w:name="_Toc443399185"/>
      <w:bookmarkStart w:id="25" w:name="_Toc487804056"/>
      <w:r w:rsidRPr="000E67C8">
        <w:rPr>
          <w:rFonts w:ascii="Perpetua" w:eastAsia="Times New Roman" w:hAnsi="Perpetua"/>
          <w:b/>
          <w:sz w:val="32"/>
          <w:szCs w:val="32"/>
        </w:rPr>
        <w:lastRenderedPageBreak/>
        <w:t>Section 2 –</w:t>
      </w:r>
      <w:r w:rsidRPr="000E67C8">
        <w:rPr>
          <w:rFonts w:ascii="Perpetua" w:eastAsia="Times New Roman" w:hAnsi="Perpetua"/>
          <w:b/>
          <w:sz w:val="32"/>
          <w:szCs w:val="32"/>
          <w:u w:val="thick" w:color="FF0000"/>
        </w:rPr>
        <w:t>Strategic Plan 2015-2017 and main projects</w:t>
      </w:r>
      <w:bookmarkEnd w:id="23"/>
      <w:bookmarkEnd w:id="24"/>
      <w:bookmarkEnd w:id="25"/>
    </w:p>
    <w:p w14:paraId="4C691F95" w14:textId="77777777" w:rsidR="000F7CA2" w:rsidRPr="000E67C8" w:rsidRDefault="000F7CA2" w:rsidP="000F7CA2">
      <w:pPr>
        <w:pStyle w:val="Heading2"/>
        <w:keepLines/>
        <w:ind w:left="720" w:hanging="720"/>
        <w:rPr>
          <w:rFonts w:ascii="Perpetua" w:eastAsia="Times New Roman" w:hAnsi="Perpetua"/>
          <w:b/>
          <w:caps/>
          <w:color w:val="FF0000"/>
          <w:sz w:val="28"/>
        </w:rPr>
      </w:pPr>
      <w:bookmarkStart w:id="26" w:name="_Toc442780649"/>
      <w:bookmarkStart w:id="27" w:name="_Toc443399218"/>
      <w:bookmarkStart w:id="28" w:name="_Toc487804057"/>
      <w:r w:rsidRPr="000E67C8">
        <w:rPr>
          <w:rFonts w:ascii="Perpetua" w:eastAsia="Times New Roman" w:hAnsi="Perpetua"/>
          <w:b/>
          <w:caps/>
          <w:color w:val="FF0000"/>
          <w:sz w:val="28"/>
        </w:rPr>
        <w:t>2.1.</w:t>
      </w:r>
      <w:r w:rsidRPr="000E67C8">
        <w:rPr>
          <w:rFonts w:ascii="Perpetua" w:eastAsia="Times New Roman" w:hAnsi="Perpetua"/>
          <w:b/>
          <w:caps/>
          <w:color w:val="FF0000"/>
          <w:sz w:val="28"/>
        </w:rPr>
        <w:tab/>
      </w:r>
      <w:r w:rsidRPr="00F561B0">
        <w:rPr>
          <w:rFonts w:ascii="Perpetua" w:hAnsi="Perpetua"/>
          <w:b/>
          <w:color w:val="FF0000"/>
          <w:sz w:val="28"/>
        </w:rPr>
        <w:t>Strategic directions</w:t>
      </w:r>
      <w:bookmarkEnd w:id="28"/>
    </w:p>
    <w:p w14:paraId="77ED6C05" w14:textId="77777777" w:rsidR="000F7CA2" w:rsidRPr="000E67C8" w:rsidRDefault="000F7CA2" w:rsidP="000F7CA2">
      <w:pPr>
        <w:spacing w:before="240"/>
        <w:jc w:val="both"/>
        <w:rPr>
          <w:rFonts w:ascii="Perpetua" w:hAnsi="Perpetua"/>
          <w:sz w:val="26"/>
          <w:szCs w:val="26"/>
        </w:rPr>
      </w:pPr>
      <w:r w:rsidRPr="000E67C8">
        <w:rPr>
          <w:rFonts w:ascii="Perpetua" w:hAnsi="Perpetua"/>
          <w:sz w:val="26"/>
          <w:szCs w:val="26"/>
        </w:rPr>
        <w:t>In early 2015, the Agency prepared a three-year Strategic Plan 2015-2017. This Plan sets out the Agency's strategic direction, its focus and priorities that guide all the activities of the three-year period, which are regarded as key factors in its success.</w:t>
      </w:r>
    </w:p>
    <w:p w14:paraId="6A55F44D" w14:textId="77777777" w:rsidR="000F7CA2" w:rsidRPr="000E67C8" w:rsidRDefault="000F7CA2" w:rsidP="000F7CA2">
      <w:pPr>
        <w:jc w:val="both"/>
        <w:rPr>
          <w:rFonts w:ascii="Perpetua" w:hAnsi="Perpetua"/>
          <w:sz w:val="26"/>
          <w:szCs w:val="26"/>
        </w:rPr>
      </w:pPr>
      <w:r w:rsidRPr="000E67C8">
        <w:rPr>
          <w:rFonts w:ascii="Perpetua" w:hAnsi="Perpetua"/>
          <w:sz w:val="26"/>
          <w:szCs w:val="26"/>
        </w:rPr>
        <w:t>The drafting of the Strategic Plan is based on a detailed analysis of the strengths and weaknesses of the Agency in terms of the commitment and offering depositor protection, as well as the implementation of deposit insurance policies.</w:t>
      </w:r>
    </w:p>
    <w:p w14:paraId="7E8A0ACE" w14:textId="77777777" w:rsidR="000F7CA2" w:rsidRPr="000E67C8" w:rsidRDefault="000F7CA2" w:rsidP="000F7CA2">
      <w:pPr>
        <w:jc w:val="both"/>
        <w:rPr>
          <w:rFonts w:ascii="Perpetua" w:hAnsi="Perpetua"/>
          <w:sz w:val="26"/>
          <w:szCs w:val="26"/>
        </w:rPr>
      </w:pPr>
      <w:r w:rsidRPr="000E67C8">
        <w:rPr>
          <w:rFonts w:ascii="Perpetua" w:hAnsi="Perpetua"/>
          <w:sz w:val="26"/>
          <w:szCs w:val="26"/>
        </w:rPr>
        <w:t xml:space="preserve">The effective implementation of this plan takes into account the current level of deposit insurance fund and the availability of financial resources, operational capabilities and the commitment of the Agency structures, as well as the cooperation at national and international level, among others, with the </w:t>
      </w:r>
      <w:r w:rsidRPr="000E67C8">
        <w:rPr>
          <w:rFonts w:ascii="Perpetua" w:eastAsia="Times New Roman" w:hAnsi="Perpetua"/>
          <w:sz w:val="26"/>
          <w:szCs w:val="26"/>
        </w:rPr>
        <w:t>Financial Safety Net members</w:t>
      </w:r>
      <w:r w:rsidRPr="000E67C8">
        <w:rPr>
          <w:rFonts w:ascii="Perpetua" w:hAnsi="Perpetua"/>
          <w:sz w:val="26"/>
          <w:szCs w:val="26"/>
        </w:rPr>
        <w:t xml:space="preserve"> in the country and international organizations of deposit insurers. </w:t>
      </w:r>
    </w:p>
    <w:p w14:paraId="10CD8311" w14:textId="77777777" w:rsidR="000F7CA2" w:rsidRPr="000E67C8" w:rsidRDefault="000F7CA2" w:rsidP="000F7CA2">
      <w:pPr>
        <w:jc w:val="both"/>
        <w:rPr>
          <w:rFonts w:ascii="Perpetua" w:hAnsi="Perpetua"/>
          <w:sz w:val="26"/>
          <w:szCs w:val="26"/>
        </w:rPr>
      </w:pPr>
      <w:r w:rsidRPr="000E67C8">
        <w:rPr>
          <w:rFonts w:ascii="Perpetua" w:hAnsi="Perpetua"/>
          <w:sz w:val="26"/>
          <w:szCs w:val="26"/>
        </w:rPr>
        <w:t xml:space="preserve">Based on this Strategic Plan, the priority for the insurance scheme and the Agency mandate as its administrator, is preparing for an effective compensation to depositors within legal limits. During 2015, the work in this direction mainly focused on (i) testing the capacity of Agency in the context of institutional cooperation with the </w:t>
      </w:r>
      <w:r w:rsidRPr="000E67C8">
        <w:rPr>
          <w:rFonts w:ascii="Perpetua" w:eastAsia="Times New Roman" w:hAnsi="Perpetua"/>
          <w:sz w:val="26"/>
          <w:szCs w:val="26"/>
        </w:rPr>
        <w:t>Financial Safety Net members</w:t>
      </w:r>
      <w:r w:rsidRPr="000E67C8">
        <w:rPr>
          <w:rFonts w:ascii="Perpetua" w:hAnsi="Perpetua"/>
          <w:sz w:val="26"/>
          <w:szCs w:val="26"/>
        </w:rPr>
        <w:t>; (ii) operational interaction between the Agency structures; (iii) regulating the relationship between the deposit insurance system members, through the review of the regulatory framework; and (iv) initiatives to increase public awareness, as one of the key factors for maintaining financial stability in the country and protecting the insured depositors.</w:t>
      </w:r>
    </w:p>
    <w:p w14:paraId="3729CAF7" w14:textId="77777777" w:rsidR="000F7CA2" w:rsidRPr="000E67C8" w:rsidRDefault="000F7CA2" w:rsidP="000F7CA2">
      <w:pPr>
        <w:jc w:val="both"/>
        <w:rPr>
          <w:rFonts w:ascii="Perpetua" w:hAnsi="Perpetua"/>
          <w:sz w:val="26"/>
          <w:szCs w:val="26"/>
        </w:rPr>
      </w:pPr>
      <w:r w:rsidRPr="000E67C8">
        <w:rPr>
          <w:rFonts w:ascii="Perpetua" w:hAnsi="Perpetua"/>
          <w:sz w:val="26"/>
          <w:szCs w:val="26"/>
        </w:rPr>
        <w:t>Furthermore, in order to fulfil the strategic directions during 2015, the Agency has been engaged in efficient administration of the financial instruments.</w:t>
      </w:r>
      <w:bookmarkEnd w:id="26"/>
      <w:bookmarkEnd w:id="27"/>
    </w:p>
    <w:p w14:paraId="595C2A83" w14:textId="77777777" w:rsidR="000F7CA2" w:rsidRPr="000E67C8" w:rsidRDefault="000F7CA2" w:rsidP="000F7CA2">
      <w:pPr>
        <w:spacing w:line="276" w:lineRule="auto"/>
        <w:jc w:val="both"/>
        <w:rPr>
          <w:rFonts w:ascii="Perpetua" w:hAnsi="Perpetua"/>
        </w:rPr>
        <w:sectPr w:rsidR="000F7CA2" w:rsidRPr="000E67C8">
          <w:pgSz w:w="11906" w:h="16838"/>
          <w:pgMar w:top="1440" w:right="1440" w:bottom="1440" w:left="1440" w:header="708" w:footer="708" w:gutter="0"/>
          <w:cols w:space="708"/>
          <w:docGrid w:linePitch="360"/>
        </w:sectPr>
      </w:pPr>
    </w:p>
    <w:p w14:paraId="11EC44FE" w14:textId="2422C25A" w:rsidR="00F561B0" w:rsidRPr="007D2B4E" w:rsidRDefault="00F561B0" w:rsidP="00F561B0">
      <w:pPr>
        <w:pStyle w:val="Heading2"/>
        <w:keepLines/>
        <w:numPr>
          <w:ilvl w:val="1"/>
          <w:numId w:val="12"/>
        </w:numPr>
        <w:spacing w:after="240" w:line="259" w:lineRule="auto"/>
        <w:rPr>
          <w:rFonts w:ascii="Perpetua" w:hAnsi="Perpetua"/>
          <w:b/>
          <w:color w:val="FF0000"/>
          <w:sz w:val="28"/>
          <w:lang w:val="en-US"/>
        </w:rPr>
      </w:pPr>
      <w:bookmarkStart w:id="29" w:name="_Toc442780612"/>
      <w:bookmarkStart w:id="30" w:name="_Toc443399187"/>
      <w:bookmarkStart w:id="31" w:name="_Toc487804058"/>
      <w:r w:rsidRPr="007E5629">
        <w:rPr>
          <w:rFonts w:ascii="Perpetua" w:hAnsi="Perpetua"/>
          <w:b/>
          <w:color w:val="FF0000"/>
          <w:sz w:val="28"/>
          <w:lang w:val="en-US"/>
        </w:rPr>
        <w:lastRenderedPageBreak/>
        <w:t>Strengthening professional efficiency</w:t>
      </w:r>
      <w:r>
        <w:rPr>
          <w:rFonts w:ascii="inherit" w:hAnsi="inherit"/>
          <w:color w:val="212121"/>
          <w:lang w:val="en"/>
        </w:rPr>
        <w:t xml:space="preserve"> </w:t>
      </w:r>
      <w:bookmarkEnd w:id="29"/>
      <w:bookmarkEnd w:id="30"/>
      <w:r>
        <w:rPr>
          <w:rFonts w:ascii="Perpetua" w:hAnsi="Perpetua"/>
          <w:b/>
          <w:color w:val="FF0000"/>
          <w:sz w:val="28"/>
          <w:lang w:val="en-US"/>
        </w:rPr>
        <w:t>in case of a payout process</w:t>
      </w:r>
      <w:bookmarkEnd w:id="31"/>
    </w:p>
    <w:p w14:paraId="301F925A" w14:textId="4C6CC0CC" w:rsidR="00F561B0" w:rsidRPr="007D2B4E" w:rsidRDefault="00F561B0" w:rsidP="00F561B0">
      <w:pPr>
        <w:pStyle w:val="Heading3"/>
        <w:numPr>
          <w:ilvl w:val="2"/>
          <w:numId w:val="12"/>
        </w:numPr>
        <w:rPr>
          <w:rFonts w:ascii="Perpetua" w:hAnsi="Perpetua"/>
          <w:color w:val="FF0000"/>
          <w:sz w:val="26"/>
          <w:szCs w:val="26"/>
          <w:lang w:val="en-US"/>
        </w:rPr>
      </w:pPr>
      <w:bookmarkStart w:id="32" w:name="_Toc442780613"/>
      <w:bookmarkStart w:id="33" w:name="_Toc443399188"/>
      <w:bookmarkStart w:id="34" w:name="_Toc487804059"/>
      <w:r>
        <w:rPr>
          <w:rFonts w:ascii="Perpetua" w:hAnsi="Perpetua"/>
          <w:color w:val="FF0000"/>
          <w:sz w:val="26"/>
          <w:szCs w:val="26"/>
          <w:lang w:val="en-US"/>
        </w:rPr>
        <w:t>Simulation exercise</w:t>
      </w:r>
      <w:bookmarkEnd w:id="34"/>
      <w:r>
        <w:rPr>
          <w:rFonts w:ascii="Perpetua" w:hAnsi="Perpetua"/>
          <w:color w:val="FF0000"/>
          <w:sz w:val="26"/>
          <w:szCs w:val="26"/>
          <w:lang w:val="en-US"/>
        </w:rPr>
        <w:t xml:space="preserve"> </w:t>
      </w:r>
      <w:bookmarkEnd w:id="32"/>
      <w:bookmarkEnd w:id="33"/>
    </w:p>
    <w:p w14:paraId="463E4483" w14:textId="77777777" w:rsidR="00F561B0" w:rsidRPr="00C26833" w:rsidRDefault="00F561B0" w:rsidP="00F561B0">
      <w:pPr>
        <w:spacing w:before="240" w:after="0" w:line="276" w:lineRule="auto"/>
        <w:jc w:val="both"/>
        <w:rPr>
          <w:rFonts w:ascii="Perpetua" w:hAnsi="Perpetua"/>
          <w:sz w:val="26"/>
          <w:szCs w:val="26"/>
          <w:lang w:val="en-US"/>
        </w:rPr>
      </w:pPr>
      <w:r w:rsidRPr="00C26833">
        <w:rPr>
          <w:rFonts w:ascii="Perpetua" w:hAnsi="Perpetua"/>
          <w:noProof/>
          <w:sz w:val="26"/>
          <w:szCs w:val="26"/>
          <w:lang w:eastAsia="en-GB"/>
        </w:rPr>
        <mc:AlternateContent>
          <mc:Choice Requires="wps">
            <w:drawing>
              <wp:anchor distT="45720" distB="45720" distL="114300" distR="114300" simplePos="0" relativeHeight="251664384" behindDoc="0" locked="0" layoutInCell="1" allowOverlap="1" wp14:anchorId="5D2EE5BB" wp14:editId="0AFD9720">
                <wp:simplePos x="0" y="0"/>
                <wp:positionH relativeFrom="margin">
                  <wp:posOffset>9525</wp:posOffset>
                </wp:positionH>
                <wp:positionV relativeFrom="paragraph">
                  <wp:posOffset>1547495</wp:posOffset>
                </wp:positionV>
                <wp:extent cx="5762625" cy="2117090"/>
                <wp:effectExtent l="0" t="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117090"/>
                        </a:xfrm>
                        <a:prstGeom prst="rect">
                          <a:avLst/>
                        </a:prstGeom>
                        <a:solidFill>
                          <a:srgbClr val="FFFFFF"/>
                        </a:solidFill>
                        <a:ln w="15875">
                          <a:solidFill>
                            <a:srgbClr val="FF0000"/>
                          </a:solidFill>
                          <a:prstDash val="solid"/>
                          <a:miter lim="800000"/>
                          <a:headEnd/>
                          <a:tailEnd/>
                        </a:ln>
                      </wps:spPr>
                      <wps:txbx>
                        <w:txbxContent>
                          <w:p w14:paraId="577ED217" w14:textId="77777777" w:rsidR="00F561B0" w:rsidRPr="00F561B0" w:rsidRDefault="00F561B0" w:rsidP="00F561B0">
                            <w:pPr>
                              <w:rPr>
                                <w:rFonts w:ascii="Perpetua" w:hAnsi="Perpetua"/>
                                <w:i/>
                                <w:color w:val="FF0000"/>
                                <w:sz w:val="24"/>
                                <w:szCs w:val="26"/>
                              </w:rPr>
                            </w:pPr>
                            <w:r w:rsidRPr="00F561B0">
                              <w:rPr>
                                <w:rFonts w:ascii="Perpetua" w:hAnsi="Perpetua"/>
                                <w:i/>
                                <w:color w:val="FF0000"/>
                                <w:sz w:val="24"/>
                                <w:szCs w:val="26"/>
                              </w:rPr>
                              <w:t>How was the simulation exercise prepared?</w:t>
                            </w:r>
                          </w:p>
                          <w:p w14:paraId="374E9EE3" w14:textId="77777777" w:rsidR="00F561B0" w:rsidRPr="00F561B0" w:rsidRDefault="00F561B0" w:rsidP="00F561B0">
                            <w:pPr>
                              <w:rPr>
                                <w:rFonts w:ascii="Perpetua" w:hAnsi="Perpetua"/>
                                <w:i/>
                                <w:sz w:val="24"/>
                                <w:szCs w:val="26"/>
                              </w:rPr>
                            </w:pPr>
                            <w:r w:rsidRPr="00F561B0">
                              <w:rPr>
                                <w:rFonts w:ascii="Perpetua" w:hAnsi="Perpetua"/>
                                <w:i/>
                                <w:sz w:val="24"/>
                                <w:szCs w:val="26"/>
                              </w:rPr>
                              <w:t>In the preparatory phase, a selected team of the Agency prepared the simulation scenarios, which were not communicated to the staff until the start of the simulation.</w:t>
                            </w:r>
                          </w:p>
                          <w:p w14:paraId="5E323ED5" w14:textId="68BEF2D4" w:rsidR="00F561B0" w:rsidRPr="00F561B0" w:rsidRDefault="00F561B0" w:rsidP="00F561B0">
                            <w:pPr>
                              <w:rPr>
                                <w:rFonts w:ascii="Perpetua" w:hAnsi="Perpetua"/>
                                <w:i/>
                                <w:sz w:val="24"/>
                                <w:szCs w:val="26"/>
                              </w:rPr>
                            </w:pPr>
                            <w:r w:rsidRPr="00F561B0">
                              <w:rPr>
                                <w:rFonts w:ascii="Perpetua" w:hAnsi="Perpetua"/>
                                <w:i/>
                                <w:sz w:val="24"/>
                                <w:szCs w:val="26"/>
                              </w:rPr>
                              <w:t>The simulation scenario describes the chronology of the events in real time and simulated time, starting from the moment of receiving the official notification from the Supervisory Authority until the closure of the reimbursement of depositors.</w:t>
                            </w:r>
                          </w:p>
                          <w:p w14:paraId="48A15F73" w14:textId="77777777" w:rsidR="00F561B0" w:rsidRPr="00F561B0" w:rsidRDefault="00F561B0" w:rsidP="00F561B0">
                            <w:pPr>
                              <w:rPr>
                                <w:rFonts w:ascii="Perpetua" w:hAnsi="Perpetua"/>
                                <w:i/>
                                <w:sz w:val="24"/>
                                <w:szCs w:val="26"/>
                              </w:rPr>
                            </w:pPr>
                            <w:r w:rsidRPr="00F561B0">
                              <w:rPr>
                                <w:rFonts w:ascii="Perpetua" w:hAnsi="Perpetua"/>
                                <w:i/>
                                <w:sz w:val="24"/>
                                <w:szCs w:val="26"/>
                              </w:rPr>
                              <w:t>Standard documents (templates) were prepared and used during the simulation. Also, the respective roles of each employee were determined in advance.</w:t>
                            </w:r>
                          </w:p>
                          <w:p w14:paraId="71D79218" w14:textId="77777777" w:rsidR="00F561B0" w:rsidRPr="00F561B0" w:rsidRDefault="00F561B0" w:rsidP="00F561B0">
                            <w:pPr>
                              <w:rPr>
                                <w:rFonts w:ascii="Perpetua" w:hAnsi="Perpetua"/>
                                <w:i/>
                                <w:sz w:val="24"/>
                                <w:szCs w:val="26"/>
                              </w:rPr>
                            </w:pPr>
                            <w:r w:rsidRPr="00F561B0">
                              <w:rPr>
                                <w:rFonts w:ascii="Perpetua" w:hAnsi="Perpetua"/>
                                <w:i/>
                                <w:sz w:val="24"/>
                                <w:szCs w:val="26"/>
                              </w:rPr>
                              <w:t>For simulation purposes, one of the banks operating in Albania was selected.</w:t>
                            </w:r>
                          </w:p>
                          <w:p w14:paraId="760CA252" w14:textId="77777777" w:rsidR="00F561B0" w:rsidRPr="00F561B0" w:rsidRDefault="00F561B0" w:rsidP="00F561B0">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EE5BB" id="_x0000_t202" coordsize="21600,21600" o:spt="202" path="m,l,21600r21600,l21600,xe">
                <v:stroke joinstyle="miter"/>
                <v:path gradientshapeok="t" o:connecttype="rect"/>
              </v:shapetype>
              <v:shape id="Text Box 2" o:spid="_x0000_s1026" type="#_x0000_t202" style="position:absolute;left:0;text-align:left;margin-left:.75pt;margin-top:121.85pt;width:453.75pt;height:166.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" strokecolor="red" strokeweight="1.25pt">
                <v:textbox>
                  <w:txbxContent>
                    <w:p w14:paraId="577ED217" w14:textId="77777777" w:rsidR="00F561B0" w:rsidRPr="00F561B0" w:rsidRDefault="00F561B0" w:rsidP="00F561B0">
                      <w:pPr>
                        <w:rPr>
                          <w:rFonts w:ascii="Perpetua" w:hAnsi="Perpetua"/>
                          <w:i/>
                          <w:color w:val="FF0000"/>
                          <w:sz w:val="24"/>
                          <w:szCs w:val="26"/>
                        </w:rPr>
                      </w:pPr>
                      <w:r w:rsidRPr="00F561B0">
                        <w:rPr>
                          <w:rFonts w:ascii="Perpetua" w:hAnsi="Perpetua"/>
                          <w:i/>
                          <w:color w:val="FF0000"/>
                          <w:sz w:val="24"/>
                          <w:szCs w:val="26"/>
                        </w:rPr>
                        <w:t>How was the simulation exercise prepared?</w:t>
                      </w:r>
                    </w:p>
                    <w:p w14:paraId="374E9EE3" w14:textId="77777777" w:rsidR="00F561B0" w:rsidRPr="00F561B0" w:rsidRDefault="00F561B0" w:rsidP="00F561B0">
                      <w:pPr>
                        <w:rPr>
                          <w:rFonts w:ascii="Perpetua" w:hAnsi="Perpetua"/>
                          <w:i/>
                          <w:sz w:val="24"/>
                          <w:szCs w:val="26"/>
                        </w:rPr>
                      </w:pPr>
                      <w:r w:rsidRPr="00F561B0">
                        <w:rPr>
                          <w:rFonts w:ascii="Perpetua" w:hAnsi="Perpetua"/>
                          <w:i/>
                          <w:sz w:val="24"/>
                          <w:szCs w:val="26"/>
                        </w:rPr>
                        <w:t>In the preparatory phase, a selected team of the Agency prepared the simulation scenarios, which were not communicated to the staff until the start of the simulation.</w:t>
                      </w:r>
                    </w:p>
                    <w:p w14:paraId="5E323ED5" w14:textId="68BEF2D4" w:rsidR="00F561B0" w:rsidRPr="00F561B0" w:rsidRDefault="00F561B0" w:rsidP="00F561B0">
                      <w:pPr>
                        <w:rPr>
                          <w:rFonts w:ascii="Perpetua" w:hAnsi="Perpetua"/>
                          <w:i/>
                          <w:sz w:val="24"/>
                          <w:szCs w:val="26"/>
                        </w:rPr>
                      </w:pPr>
                      <w:r w:rsidRPr="00F561B0">
                        <w:rPr>
                          <w:rFonts w:ascii="Perpetua" w:hAnsi="Perpetua"/>
                          <w:i/>
                          <w:sz w:val="24"/>
                          <w:szCs w:val="26"/>
                        </w:rPr>
                        <w:t>The simulation scenario describes the chronology of the events in real time and simulated time, starting from the moment of receiving the official notification from the Supervisory Authority until the closure of the reimbursement of depositors.</w:t>
                      </w:r>
                    </w:p>
                    <w:p w14:paraId="48A15F73" w14:textId="77777777" w:rsidR="00F561B0" w:rsidRPr="00F561B0" w:rsidRDefault="00F561B0" w:rsidP="00F561B0">
                      <w:pPr>
                        <w:rPr>
                          <w:rFonts w:ascii="Perpetua" w:hAnsi="Perpetua"/>
                          <w:i/>
                          <w:sz w:val="24"/>
                          <w:szCs w:val="26"/>
                        </w:rPr>
                      </w:pPr>
                      <w:r w:rsidRPr="00F561B0">
                        <w:rPr>
                          <w:rFonts w:ascii="Perpetua" w:hAnsi="Perpetua"/>
                          <w:i/>
                          <w:sz w:val="24"/>
                          <w:szCs w:val="26"/>
                        </w:rPr>
                        <w:t>Standard documents (templates) were prepared and used during the simulation. Also, the respective roles of each employee were determined in advance.</w:t>
                      </w:r>
                    </w:p>
                    <w:p w14:paraId="71D79218" w14:textId="77777777" w:rsidR="00F561B0" w:rsidRPr="00F561B0" w:rsidRDefault="00F561B0" w:rsidP="00F561B0">
                      <w:pPr>
                        <w:rPr>
                          <w:rFonts w:ascii="Perpetua" w:hAnsi="Perpetua"/>
                          <w:i/>
                          <w:sz w:val="24"/>
                          <w:szCs w:val="26"/>
                        </w:rPr>
                      </w:pPr>
                      <w:r w:rsidRPr="00F561B0">
                        <w:rPr>
                          <w:rFonts w:ascii="Perpetua" w:hAnsi="Perpetua"/>
                          <w:i/>
                          <w:sz w:val="24"/>
                          <w:szCs w:val="26"/>
                        </w:rPr>
                        <w:t>For simulation purposes, one of the banks operating in Albania was selected.</w:t>
                      </w:r>
                    </w:p>
                    <w:p w14:paraId="760CA252" w14:textId="77777777" w:rsidR="00F561B0" w:rsidRPr="00F561B0" w:rsidRDefault="00F561B0" w:rsidP="00F561B0">
                      <w:pPr>
                        <w:rPr>
                          <w:i/>
                          <w:sz w:val="20"/>
                        </w:rPr>
                      </w:pPr>
                    </w:p>
                  </w:txbxContent>
                </v:textbox>
                <w10:wrap type="square" anchorx="margin"/>
              </v:shape>
            </w:pict>
          </mc:Fallback>
        </mc:AlternateContent>
      </w:r>
      <w:r w:rsidRPr="00C26833">
        <w:rPr>
          <w:rFonts w:ascii="Perpetua" w:hAnsi="Perpetua"/>
          <w:sz w:val="26"/>
          <w:szCs w:val="26"/>
          <w:lang w:val="en-US"/>
        </w:rPr>
        <w:t>In May 2015, the Agency for the first time conducted an exercise to test systems an</w:t>
      </w:r>
      <w:r>
        <w:rPr>
          <w:rFonts w:ascii="Perpetua" w:hAnsi="Perpetua"/>
          <w:sz w:val="26"/>
          <w:szCs w:val="26"/>
          <w:lang w:val="en-US"/>
        </w:rPr>
        <w:t>d procedures in function of reimbursement</w:t>
      </w:r>
      <w:r w:rsidRPr="00C26833">
        <w:rPr>
          <w:rFonts w:ascii="Perpetua" w:hAnsi="Perpetua"/>
          <w:sz w:val="26"/>
          <w:szCs w:val="26"/>
          <w:lang w:val="en-US"/>
        </w:rPr>
        <w:t xml:space="preserve"> of insured depositors. In accordance with Agency's Strategic Plan 2015-2017, the simulation exercise objectives were testing: (i) the functioning of the I</w:t>
      </w:r>
      <w:r>
        <w:rPr>
          <w:rFonts w:ascii="Perpetua" w:hAnsi="Perpetua"/>
          <w:sz w:val="26"/>
          <w:szCs w:val="26"/>
          <w:lang w:val="en-US"/>
        </w:rPr>
        <w:t>T</w:t>
      </w:r>
      <w:r w:rsidRPr="00C26833">
        <w:rPr>
          <w:rFonts w:ascii="Perpetua" w:hAnsi="Perpetua"/>
          <w:sz w:val="26"/>
          <w:szCs w:val="26"/>
          <w:lang w:val="en-US"/>
        </w:rPr>
        <w:t xml:space="preserve"> System </w:t>
      </w:r>
      <w:r>
        <w:rPr>
          <w:rFonts w:ascii="Perpetua" w:hAnsi="Perpetua"/>
          <w:sz w:val="26"/>
          <w:szCs w:val="26"/>
          <w:lang w:val="en-US"/>
        </w:rPr>
        <w:t>of ADIA</w:t>
      </w:r>
      <w:r w:rsidRPr="00C26833">
        <w:rPr>
          <w:rFonts w:ascii="Perpetua" w:hAnsi="Perpetua"/>
          <w:sz w:val="26"/>
          <w:szCs w:val="26"/>
          <w:lang w:val="en-US"/>
        </w:rPr>
        <w:t xml:space="preserve">; (ii) the efficiency of previously prepared standard procedures and manuals, (iii) staff readiness to respond promptly and accurately to a </w:t>
      </w:r>
      <w:r>
        <w:rPr>
          <w:rFonts w:ascii="Perpetua" w:hAnsi="Perpetua"/>
          <w:sz w:val="26"/>
          <w:szCs w:val="26"/>
          <w:lang w:val="en-US"/>
        </w:rPr>
        <w:t>pay</w:t>
      </w:r>
      <w:r w:rsidRPr="00C26833">
        <w:rPr>
          <w:rFonts w:ascii="Perpetua" w:hAnsi="Perpetua"/>
          <w:sz w:val="26"/>
          <w:szCs w:val="26"/>
          <w:lang w:val="en-US"/>
        </w:rPr>
        <w:t>out process, (iv) identification of potential areas for improvement.</w:t>
      </w:r>
    </w:p>
    <w:p w14:paraId="5DD729CF" w14:textId="77777777" w:rsidR="00F561B0" w:rsidRPr="00C26833" w:rsidRDefault="00F561B0" w:rsidP="00F561B0">
      <w:pPr>
        <w:spacing w:after="0" w:line="276" w:lineRule="auto"/>
        <w:jc w:val="both"/>
        <w:rPr>
          <w:rFonts w:ascii="Perpetua" w:hAnsi="Perpetua"/>
          <w:sz w:val="26"/>
          <w:szCs w:val="26"/>
          <w:lang w:val="en-US"/>
        </w:rPr>
      </w:pPr>
      <w:r w:rsidRPr="00C26833">
        <w:rPr>
          <w:rFonts w:ascii="Perpetua" w:hAnsi="Perpetua"/>
          <w:sz w:val="26"/>
          <w:szCs w:val="26"/>
          <w:lang w:val="en-US"/>
        </w:rPr>
        <w:t xml:space="preserve">One of the main issues of the simulation exercise was the receipt of a list of depositors through the System and the accuracy and validity of the data of depositors. From the tests it turned out that the </w:t>
      </w:r>
      <w:r>
        <w:rPr>
          <w:rFonts w:ascii="Perpetua" w:hAnsi="Perpetua"/>
          <w:sz w:val="26"/>
          <w:szCs w:val="26"/>
          <w:lang w:val="en-US"/>
        </w:rPr>
        <w:t>IT system</w:t>
      </w:r>
      <w:r w:rsidRPr="00C26833">
        <w:rPr>
          <w:rFonts w:ascii="Perpetua" w:hAnsi="Perpetua"/>
          <w:sz w:val="26"/>
          <w:szCs w:val="26"/>
          <w:lang w:val="en-US"/>
        </w:rPr>
        <w:t xml:space="preserve"> of the Agency produced the list with 80% accurate and ready for compensation.</w:t>
      </w:r>
    </w:p>
    <w:p w14:paraId="226BCA56" w14:textId="77777777" w:rsidR="00F561B0" w:rsidRDefault="00F561B0" w:rsidP="00F561B0">
      <w:pPr>
        <w:spacing w:after="0" w:line="276" w:lineRule="auto"/>
        <w:jc w:val="both"/>
        <w:rPr>
          <w:rFonts w:ascii="Perpetua" w:hAnsi="Perpetua"/>
          <w:sz w:val="26"/>
          <w:szCs w:val="26"/>
          <w:lang w:val="en-US"/>
        </w:rPr>
      </w:pPr>
    </w:p>
    <w:p w14:paraId="1C3DFA72" w14:textId="77777777" w:rsidR="00F561B0" w:rsidRPr="00C26833" w:rsidRDefault="00F561B0" w:rsidP="00F561B0">
      <w:pPr>
        <w:spacing w:after="0" w:line="276" w:lineRule="auto"/>
        <w:jc w:val="both"/>
        <w:rPr>
          <w:rFonts w:ascii="Perpetua" w:hAnsi="Perpetua"/>
          <w:sz w:val="26"/>
          <w:szCs w:val="26"/>
          <w:lang w:val="en-US"/>
        </w:rPr>
      </w:pPr>
      <w:r w:rsidRPr="00C26833">
        <w:rPr>
          <w:rFonts w:ascii="Perpetua" w:hAnsi="Perpetua"/>
          <w:sz w:val="26"/>
          <w:szCs w:val="26"/>
          <w:lang w:val="en-US"/>
        </w:rPr>
        <w:t xml:space="preserve">Also, in the Agency's focus was the compliance of the payout process with the respective legal and regulatory framework. This includes the decision-making process by the designated authorities and the dissemination of information, in order to respect the legal deadlines. Exercise tested the existing documents and identified the need for drafting other template documents to increase effectiveness and readiness in case of </w:t>
      </w:r>
      <w:r>
        <w:rPr>
          <w:rFonts w:ascii="Perpetua" w:hAnsi="Perpetua"/>
          <w:sz w:val="26"/>
          <w:szCs w:val="26"/>
          <w:lang w:val="en-US"/>
        </w:rPr>
        <w:t xml:space="preserve">a </w:t>
      </w:r>
      <w:r w:rsidRPr="00C26833">
        <w:rPr>
          <w:rFonts w:ascii="Perpetua" w:hAnsi="Perpetua"/>
          <w:sz w:val="26"/>
          <w:szCs w:val="26"/>
          <w:lang w:val="en-US"/>
        </w:rPr>
        <w:t>payout</w:t>
      </w:r>
      <w:r>
        <w:rPr>
          <w:rFonts w:ascii="Perpetua" w:hAnsi="Perpetua"/>
          <w:sz w:val="26"/>
          <w:szCs w:val="26"/>
          <w:lang w:val="en-US"/>
        </w:rPr>
        <w:t xml:space="preserve"> process</w:t>
      </w:r>
      <w:r w:rsidRPr="00C26833">
        <w:rPr>
          <w:rFonts w:ascii="Perpetua" w:hAnsi="Perpetua"/>
          <w:sz w:val="26"/>
          <w:szCs w:val="26"/>
          <w:lang w:val="en-US"/>
        </w:rPr>
        <w:t>.</w:t>
      </w:r>
    </w:p>
    <w:p w14:paraId="10BD998B" w14:textId="77777777" w:rsidR="00F561B0" w:rsidRDefault="00F561B0" w:rsidP="00F561B0">
      <w:pPr>
        <w:pStyle w:val="Default"/>
        <w:jc w:val="both"/>
        <w:rPr>
          <w:rFonts w:ascii="Perpetua" w:hAnsi="Perpetua"/>
          <w:sz w:val="26"/>
          <w:szCs w:val="26"/>
          <w:lang w:val="en-US"/>
        </w:rPr>
      </w:pPr>
    </w:p>
    <w:p w14:paraId="54B830D4" w14:textId="77777777" w:rsidR="00F561B0" w:rsidRDefault="00F561B0" w:rsidP="00F561B0">
      <w:pPr>
        <w:pStyle w:val="Default"/>
        <w:jc w:val="both"/>
      </w:pPr>
      <w:r w:rsidRPr="00C26833">
        <w:rPr>
          <w:rFonts w:ascii="Perpetua" w:hAnsi="Perpetua"/>
          <w:sz w:val="26"/>
          <w:szCs w:val="26"/>
          <w:lang w:val="en-US"/>
        </w:rPr>
        <w:t xml:space="preserve">As a conclusion, issuing the list with single customer view, remains a challenge for a </w:t>
      </w:r>
      <w:r>
        <w:rPr>
          <w:rFonts w:ascii="Perpetua" w:hAnsi="Perpetua"/>
          <w:sz w:val="26"/>
          <w:szCs w:val="26"/>
          <w:lang w:val="en-US"/>
        </w:rPr>
        <w:t>prompt</w:t>
      </w:r>
      <w:r w:rsidRPr="00C26833">
        <w:rPr>
          <w:rFonts w:ascii="Perpetua" w:hAnsi="Perpetua"/>
          <w:sz w:val="26"/>
          <w:szCs w:val="26"/>
          <w:lang w:val="en-US"/>
        </w:rPr>
        <w:t xml:space="preserve"> and accurate </w:t>
      </w:r>
      <w:r>
        <w:rPr>
          <w:rFonts w:ascii="Perpetua" w:hAnsi="Perpetua"/>
          <w:sz w:val="26"/>
          <w:szCs w:val="26"/>
          <w:lang w:val="en-US"/>
        </w:rPr>
        <w:t>pay</w:t>
      </w:r>
      <w:r w:rsidRPr="00C26833">
        <w:rPr>
          <w:rFonts w:ascii="Perpetua" w:hAnsi="Perpetua"/>
          <w:sz w:val="26"/>
          <w:szCs w:val="26"/>
          <w:lang w:val="en-US"/>
        </w:rPr>
        <w:t>out process.</w:t>
      </w:r>
      <w:r>
        <w:rPr>
          <w:rFonts w:ascii="Perpetua" w:hAnsi="Perpetua"/>
          <w:sz w:val="26"/>
          <w:szCs w:val="26"/>
          <w:lang w:val="en-US"/>
        </w:rPr>
        <w:t xml:space="preserve"> </w:t>
      </w:r>
    </w:p>
    <w:p w14:paraId="39360BDC" w14:textId="77777777" w:rsidR="00F561B0" w:rsidRDefault="00F561B0" w:rsidP="00F561B0">
      <w:pPr>
        <w:spacing w:after="0"/>
        <w:jc w:val="both"/>
        <w:rPr>
          <w:rFonts w:ascii="Perpetua" w:hAnsi="Perpetua"/>
          <w:sz w:val="26"/>
          <w:szCs w:val="26"/>
          <w:lang w:val="en-US"/>
        </w:rPr>
      </w:pPr>
    </w:p>
    <w:p w14:paraId="6971BE67" w14:textId="77777777" w:rsidR="00F561B0" w:rsidRPr="00C26833" w:rsidRDefault="00F561B0" w:rsidP="00F561B0">
      <w:pPr>
        <w:spacing w:after="0"/>
        <w:jc w:val="both"/>
        <w:rPr>
          <w:rFonts w:ascii="Perpetua" w:hAnsi="Perpetua"/>
          <w:sz w:val="26"/>
          <w:szCs w:val="26"/>
          <w:lang w:val="en-US"/>
        </w:rPr>
      </w:pPr>
      <w:r w:rsidRPr="00C26833">
        <w:rPr>
          <w:rFonts w:ascii="Perpetua" w:hAnsi="Perpetua"/>
          <w:sz w:val="26"/>
          <w:szCs w:val="26"/>
          <w:lang w:val="en-US"/>
        </w:rPr>
        <w:t xml:space="preserve">Furthermore, simulation helped management identify key areas requiring attention and improvement, and also highlighted the importance of overall simulation </w:t>
      </w:r>
      <w:r>
        <w:rPr>
          <w:rFonts w:ascii="Perpetua" w:hAnsi="Perpetua"/>
          <w:sz w:val="26"/>
          <w:szCs w:val="26"/>
          <w:lang w:val="en-US"/>
        </w:rPr>
        <w:t xml:space="preserve">exercises </w:t>
      </w:r>
      <w:r w:rsidRPr="00C26833">
        <w:rPr>
          <w:rFonts w:ascii="Perpetua" w:hAnsi="Perpetua"/>
          <w:sz w:val="26"/>
          <w:szCs w:val="26"/>
          <w:lang w:val="en-US"/>
        </w:rPr>
        <w:t xml:space="preserve">with all outsourcing service providers (Agent Bank, audit firms, etc.), as well as better co-ordination with </w:t>
      </w:r>
      <w:r w:rsidRPr="00931986">
        <w:rPr>
          <w:rFonts w:ascii="Perpetua" w:hAnsi="Perpetua"/>
          <w:sz w:val="26"/>
          <w:szCs w:val="26"/>
          <w:lang w:val="en-US"/>
        </w:rPr>
        <w:t xml:space="preserve">other financial system safety-net participants </w:t>
      </w:r>
      <w:r w:rsidRPr="00C26833">
        <w:rPr>
          <w:rFonts w:ascii="Perpetua" w:hAnsi="Perpetua"/>
          <w:sz w:val="26"/>
          <w:szCs w:val="26"/>
          <w:lang w:val="en-US"/>
        </w:rPr>
        <w:t xml:space="preserve">to effectively deal with circumstances that may affect the financial </w:t>
      </w:r>
      <w:r>
        <w:rPr>
          <w:rFonts w:ascii="Perpetua" w:hAnsi="Perpetua"/>
          <w:sz w:val="26"/>
          <w:szCs w:val="26"/>
          <w:lang w:val="en-US"/>
        </w:rPr>
        <w:t xml:space="preserve">stability. </w:t>
      </w:r>
    </w:p>
    <w:p w14:paraId="4BA25A32" w14:textId="77777777" w:rsidR="00F561B0" w:rsidRDefault="00F561B0" w:rsidP="00F561B0">
      <w:pPr>
        <w:spacing w:after="0"/>
        <w:jc w:val="both"/>
        <w:rPr>
          <w:rFonts w:ascii="Perpetua" w:hAnsi="Perpetua"/>
          <w:sz w:val="26"/>
          <w:szCs w:val="26"/>
          <w:lang w:val="en-US"/>
        </w:rPr>
      </w:pPr>
    </w:p>
    <w:p w14:paraId="07FABBBB" w14:textId="77777777" w:rsidR="00F561B0" w:rsidRDefault="00F561B0" w:rsidP="00F561B0">
      <w:pPr>
        <w:rPr>
          <w:rFonts w:ascii="Perpetua" w:hAnsi="Perpetua"/>
          <w:sz w:val="26"/>
          <w:szCs w:val="26"/>
          <w:lang w:val="en-US"/>
        </w:rPr>
      </w:pPr>
      <w:r w:rsidRPr="00C26833">
        <w:rPr>
          <w:rFonts w:ascii="Perpetua" w:hAnsi="Perpetua"/>
          <w:sz w:val="26"/>
          <w:szCs w:val="26"/>
          <w:lang w:val="en-US"/>
        </w:rPr>
        <w:lastRenderedPageBreak/>
        <w:t>In order to address the issues arising from the exercise of capacity testing, the A</w:t>
      </w:r>
      <w:r>
        <w:rPr>
          <w:rFonts w:ascii="Perpetua" w:hAnsi="Perpetua"/>
          <w:sz w:val="26"/>
          <w:szCs w:val="26"/>
          <w:lang w:val="en-US"/>
        </w:rPr>
        <w:t>DIA</w:t>
      </w:r>
      <w:r w:rsidRPr="00C26833">
        <w:rPr>
          <w:rFonts w:ascii="Perpetua" w:hAnsi="Perpetua"/>
          <w:sz w:val="26"/>
          <w:szCs w:val="26"/>
          <w:lang w:val="en-US"/>
        </w:rPr>
        <w:t xml:space="preserve"> reviewed and prepared the Regulatory Payout Framework, including the "Deposit Reimbursement Regulation", as well as started work on the compilation of the detailed plan that </w:t>
      </w:r>
      <w:r>
        <w:rPr>
          <w:rFonts w:ascii="Perpetua" w:hAnsi="Perpetua"/>
          <w:sz w:val="26"/>
          <w:szCs w:val="26"/>
          <w:lang w:val="en-US"/>
        </w:rPr>
        <w:t>goes along with</w:t>
      </w:r>
      <w:r w:rsidRPr="00C26833">
        <w:rPr>
          <w:rFonts w:ascii="Perpetua" w:hAnsi="Perpetua"/>
          <w:sz w:val="26"/>
          <w:szCs w:val="26"/>
          <w:lang w:val="en-US"/>
        </w:rPr>
        <w:t xml:space="preserve"> this regulation, and the </w:t>
      </w:r>
      <w:r>
        <w:rPr>
          <w:rFonts w:ascii="Perpetua" w:hAnsi="Perpetua"/>
          <w:sz w:val="26"/>
          <w:szCs w:val="26"/>
          <w:lang w:val="en-US"/>
        </w:rPr>
        <w:t>check list for each unit in the ADIA, in case of a payout</w:t>
      </w:r>
      <w:r w:rsidRPr="00C26833">
        <w:rPr>
          <w:rFonts w:ascii="Perpetua" w:hAnsi="Perpetua"/>
          <w:sz w:val="26"/>
          <w:szCs w:val="26"/>
          <w:lang w:val="en-US"/>
        </w:rPr>
        <w:t>.</w:t>
      </w:r>
      <w:bookmarkStart w:id="35" w:name="_Toc442780614"/>
      <w:bookmarkStart w:id="36" w:name="_Toc443399189"/>
    </w:p>
    <w:p w14:paraId="2ED28812" w14:textId="1F8D49C0" w:rsidR="00F561B0" w:rsidRPr="000E67C8" w:rsidRDefault="00F561B0" w:rsidP="00F561B0">
      <w:pPr>
        <w:pStyle w:val="Heading3"/>
        <w:numPr>
          <w:ilvl w:val="2"/>
          <w:numId w:val="12"/>
        </w:numPr>
        <w:rPr>
          <w:rFonts w:ascii="Perpetua" w:hAnsi="Perpetua"/>
          <w:color w:val="FF0000"/>
          <w:sz w:val="26"/>
          <w:szCs w:val="26"/>
        </w:rPr>
      </w:pPr>
      <w:bookmarkStart w:id="37" w:name="_Toc487804060"/>
      <w:bookmarkEnd w:id="35"/>
      <w:bookmarkEnd w:id="36"/>
      <w:r w:rsidRPr="000E67C8">
        <w:rPr>
          <w:rFonts w:ascii="Perpetua" w:hAnsi="Perpetua"/>
          <w:color w:val="FF0000"/>
          <w:sz w:val="26"/>
          <w:szCs w:val="26"/>
        </w:rPr>
        <w:t>Crises simulation exercise with the financial safety net members.</w:t>
      </w:r>
      <w:bookmarkEnd w:id="37"/>
    </w:p>
    <w:p w14:paraId="1E8EF21A" w14:textId="77777777" w:rsidR="000F7CA2" w:rsidRPr="000E67C8" w:rsidRDefault="000F7CA2" w:rsidP="000F7CA2">
      <w:pPr>
        <w:spacing w:before="240" w:line="276" w:lineRule="auto"/>
        <w:jc w:val="both"/>
        <w:rPr>
          <w:rFonts w:ascii="Perpetua" w:hAnsi="Perpetua"/>
          <w:sz w:val="26"/>
          <w:szCs w:val="26"/>
        </w:rPr>
      </w:pPr>
      <w:r w:rsidRPr="000E67C8">
        <w:rPr>
          <w:rFonts w:ascii="Perpetua" w:hAnsi="Perpetua"/>
          <w:sz w:val="26"/>
          <w:szCs w:val="26"/>
        </w:rPr>
        <w:t>Global financial instability has highlighted the importance of having effective coordination arrangements among responsible authorities as well as a smooth and synchronized operational relationship between the different units within the authorities mandated to manage financial crisis.</w:t>
      </w:r>
    </w:p>
    <w:p w14:paraId="6CEAA2FD" w14:textId="77777777" w:rsidR="000F7CA2" w:rsidRPr="000E67C8" w:rsidRDefault="000F7CA2" w:rsidP="000F7CA2">
      <w:pPr>
        <w:spacing w:line="276" w:lineRule="auto"/>
        <w:jc w:val="both"/>
        <w:rPr>
          <w:rFonts w:ascii="Perpetua" w:hAnsi="Perpetua"/>
          <w:sz w:val="26"/>
          <w:szCs w:val="26"/>
        </w:rPr>
      </w:pPr>
      <w:r w:rsidRPr="000E67C8">
        <w:rPr>
          <w:rFonts w:ascii="Perpetua" w:hAnsi="Perpetua"/>
          <w:sz w:val="26"/>
          <w:szCs w:val="26"/>
        </w:rPr>
        <w:t xml:space="preserve">Considering the above, a Crisis Simulation Exercise (CSE) was conducted on June 2015, as part of a Technical Assistance project funded and delivered by the Vienna Financial Sector Advisory Centre (FinSAC) for the Bank of Albania (BoA). The overall goal of the Exercise was to examine how the authorities respond to distress in the financial system and to explore the adequacy of existing laws, regulations, policies and procedures to confront those challenges. </w:t>
      </w:r>
    </w:p>
    <w:p w14:paraId="007BB20F" w14:textId="77777777" w:rsidR="000F7CA2" w:rsidRPr="000E67C8" w:rsidRDefault="000F7CA2" w:rsidP="000F7CA2">
      <w:pPr>
        <w:spacing w:line="276" w:lineRule="auto"/>
        <w:jc w:val="both"/>
        <w:rPr>
          <w:rFonts w:ascii="Perpetua" w:hAnsi="Perpetua"/>
          <w:sz w:val="26"/>
          <w:szCs w:val="26"/>
        </w:rPr>
      </w:pPr>
      <w:r w:rsidRPr="000E67C8">
        <w:rPr>
          <w:rFonts w:ascii="Perpetua" w:hAnsi="Perpetua"/>
          <w:sz w:val="26"/>
          <w:szCs w:val="26"/>
        </w:rPr>
        <w:t>Simulation Exercises are powerful tools which serve to test the functioning of existing mechanisms and procedures in the event of financial crisis. The issues identified range from shortcomings in the legal and regulatory framework, gaps in the operational procedures, lack of (or poor) implementation of information sharing and coordination mechanisms among relevant agencies, ineffective communications with key stakeholders to misguided communication with the public, etc.</w:t>
      </w:r>
    </w:p>
    <w:p w14:paraId="246A9D87" w14:textId="77777777" w:rsidR="000F7CA2" w:rsidRPr="000E67C8" w:rsidRDefault="000F7CA2" w:rsidP="000F7CA2">
      <w:pPr>
        <w:spacing w:line="276" w:lineRule="auto"/>
        <w:jc w:val="both"/>
        <w:rPr>
          <w:rFonts w:ascii="Perpetua" w:hAnsi="Perpetua"/>
          <w:sz w:val="26"/>
          <w:szCs w:val="26"/>
        </w:rPr>
      </w:pPr>
      <w:r w:rsidRPr="000E67C8">
        <w:rPr>
          <w:rFonts w:ascii="Perpetua" w:hAnsi="Perpetua"/>
          <w:sz w:val="26"/>
          <w:szCs w:val="26"/>
        </w:rPr>
        <w:t xml:space="preserve">Participants in the Simulation Exercise were all the composing authorities of the Albanian financial safety net, such as, Bank of Albania, Ministry of Finance, the Albanian Financial Supervisory Agency and the Albanian Deposit Insurance Agency. All these authorities were represented by very high ranking officials. </w:t>
      </w:r>
    </w:p>
    <w:p w14:paraId="292A00BD" w14:textId="77777777" w:rsidR="000F7CA2" w:rsidRDefault="000F7CA2" w:rsidP="000F7CA2">
      <w:pPr>
        <w:tabs>
          <w:tab w:val="left" w:pos="5387"/>
        </w:tabs>
        <w:spacing w:line="276" w:lineRule="auto"/>
        <w:jc w:val="both"/>
        <w:rPr>
          <w:rFonts w:ascii="Perpetua" w:hAnsi="Perpetua"/>
          <w:sz w:val="26"/>
          <w:szCs w:val="26"/>
        </w:rPr>
      </w:pPr>
      <w:r w:rsidRPr="000E67C8">
        <w:rPr>
          <w:rFonts w:ascii="Perpetua" w:hAnsi="Perpetua"/>
          <w:sz w:val="26"/>
          <w:szCs w:val="26"/>
        </w:rPr>
        <w:t xml:space="preserve">Upon conclusion of the Simulation Exercise, the Financial Sector Advisory Centre (FinSAC) experts delivered various recommendations aiming to enhance the inter-institutional collaboration in the occurrence of a financial crisis. One of the recommendations directly linked with the activity of the Albanian Deposit Insurance Agency and its contribution in solving timely and efficiently problematic situation for the financial stability, was exploring possibilities on how to secure the necessary liquidity for the deposit insurance fund in due time. For this purpose, it was recommended to evaluate the possibility for the Banka of Albania to enter into a direct repo transactions with the Albanian Deposit Insurance Agency. Following these recommendations the Agency is seriously engaged to address all related issues through institutional collaboration and joint legal initiatives with the respective authorities, such as Banka of Albania and Ministry of Finance. </w:t>
      </w:r>
    </w:p>
    <w:p w14:paraId="788AAB29" w14:textId="77777777" w:rsidR="00F561B0" w:rsidRDefault="00F561B0" w:rsidP="000F7CA2">
      <w:pPr>
        <w:tabs>
          <w:tab w:val="left" w:pos="5387"/>
        </w:tabs>
        <w:spacing w:line="276" w:lineRule="auto"/>
        <w:jc w:val="both"/>
        <w:rPr>
          <w:rFonts w:ascii="Perpetua" w:hAnsi="Perpetua"/>
          <w:sz w:val="26"/>
          <w:szCs w:val="26"/>
        </w:rPr>
      </w:pPr>
    </w:p>
    <w:p w14:paraId="7AD53239" w14:textId="77777777" w:rsidR="00F561B0" w:rsidRPr="000E67C8" w:rsidRDefault="00F561B0" w:rsidP="000F7CA2">
      <w:pPr>
        <w:tabs>
          <w:tab w:val="left" w:pos="5387"/>
        </w:tabs>
        <w:spacing w:line="276" w:lineRule="auto"/>
        <w:jc w:val="both"/>
        <w:rPr>
          <w:rFonts w:ascii="Perpetua" w:hAnsi="Perpetua"/>
          <w:i/>
          <w:sz w:val="26"/>
          <w:szCs w:val="26"/>
        </w:rPr>
      </w:pPr>
    </w:p>
    <w:p w14:paraId="4B6B1695" w14:textId="77777777" w:rsidR="000F7CA2" w:rsidRPr="000E67C8" w:rsidRDefault="000F7CA2" w:rsidP="00F561B0">
      <w:pPr>
        <w:pStyle w:val="Heading3"/>
        <w:numPr>
          <w:ilvl w:val="2"/>
          <w:numId w:val="12"/>
        </w:numPr>
        <w:rPr>
          <w:rFonts w:ascii="Perpetua" w:eastAsiaTheme="minorHAnsi" w:hAnsi="Perpetua" w:cstheme="minorBidi"/>
          <w:color w:val="FF0000"/>
          <w:sz w:val="26"/>
          <w:szCs w:val="26"/>
        </w:rPr>
      </w:pPr>
      <w:bookmarkStart w:id="38" w:name="_Toc443399190"/>
      <w:bookmarkStart w:id="39" w:name="_Toc487804061"/>
      <w:r w:rsidRPr="000E67C8">
        <w:rPr>
          <w:rFonts w:ascii="Perpetua" w:eastAsiaTheme="minorHAnsi" w:hAnsi="Perpetua" w:cstheme="minorBidi"/>
          <w:color w:val="FF0000"/>
          <w:sz w:val="26"/>
          <w:szCs w:val="26"/>
        </w:rPr>
        <w:t>Improvement of regulatory framework</w:t>
      </w:r>
      <w:bookmarkEnd w:id="39"/>
      <w:r w:rsidRPr="000E67C8">
        <w:rPr>
          <w:rFonts w:ascii="Perpetua" w:eastAsiaTheme="minorHAnsi" w:hAnsi="Perpetua" w:cstheme="minorBidi"/>
          <w:color w:val="FF0000"/>
          <w:sz w:val="26"/>
          <w:szCs w:val="26"/>
        </w:rPr>
        <w:t xml:space="preserve">  </w:t>
      </w:r>
      <w:bookmarkEnd w:id="38"/>
    </w:p>
    <w:p w14:paraId="664E31FF" w14:textId="77777777" w:rsidR="000F7CA2" w:rsidRPr="000E67C8" w:rsidRDefault="000F7CA2" w:rsidP="000F7CA2">
      <w:pPr>
        <w:spacing w:before="240" w:line="276" w:lineRule="auto"/>
        <w:jc w:val="both"/>
        <w:rPr>
          <w:rFonts w:ascii="Perpetua" w:hAnsi="Perpetua"/>
          <w:sz w:val="26"/>
          <w:szCs w:val="26"/>
        </w:rPr>
      </w:pPr>
      <w:r w:rsidRPr="000E67C8">
        <w:rPr>
          <w:rFonts w:ascii="Perpetua" w:hAnsi="Perpetua"/>
          <w:sz w:val="26"/>
          <w:szCs w:val="26"/>
        </w:rPr>
        <w:t xml:space="preserve">Following the approval of the Law no. 53/2014, of 22.05.2014 “On deposit insurance”, the Agency focused on the revision of the regulatory framework regarding deposit compensation process aiming to maintain consistency with the provisions of the deposit insurance law, Directive 2014/49/EU of the European Parliament and Council "On deposit guarantee schemes “of 14.04.2014, as well as the Core Principles for Effective Deposit Insurance Systems adopted by International Association of Deposit Insurance (IADI), in 2014. In this regard, the Agency has drafted a new regulation “On compensation of insured deposits”, which comprehensively improves the deposit compensation process. The main improvements introduced in the draft regulation are: the detailed regulation of the preliminary phase for the implementation of the compensation process; requirements and procedures for selection of the agent bank and other service providers; definition of rules for the use of Agency’s IT System on Data Collection and Reporting during a compensation process, as well as interaction with other involved subjects in this process. </w:t>
      </w:r>
    </w:p>
    <w:p w14:paraId="60E10051" w14:textId="77777777" w:rsidR="000F7CA2" w:rsidRPr="000E67C8" w:rsidRDefault="000F7CA2" w:rsidP="000F7CA2">
      <w:pPr>
        <w:spacing w:before="240" w:line="276" w:lineRule="auto"/>
        <w:jc w:val="both"/>
        <w:rPr>
          <w:rFonts w:ascii="Perpetua" w:hAnsi="Perpetua"/>
          <w:sz w:val="26"/>
          <w:szCs w:val="26"/>
        </w:rPr>
      </w:pPr>
      <w:r w:rsidRPr="000E67C8">
        <w:rPr>
          <w:rFonts w:ascii="Perpetua" w:hAnsi="Perpetua"/>
          <w:sz w:val="26"/>
          <w:szCs w:val="26"/>
        </w:rPr>
        <w:t xml:space="preserve">This new regulatory framework represent a major step forward in establishing the infrastructure for an efficient and prompt compensation of depositors in an insurance event, which is the main objective of deposit insurance scheme in order to maintain the financial stability.  </w:t>
      </w:r>
    </w:p>
    <w:p w14:paraId="32D606DB" w14:textId="77777777" w:rsidR="000E67C8" w:rsidRPr="000E67C8" w:rsidRDefault="000E67C8" w:rsidP="00F561B0">
      <w:pPr>
        <w:pStyle w:val="Heading2"/>
        <w:keepLines/>
        <w:numPr>
          <w:ilvl w:val="1"/>
          <w:numId w:val="12"/>
        </w:numPr>
        <w:spacing w:line="259" w:lineRule="auto"/>
        <w:rPr>
          <w:rFonts w:ascii="Perpetua" w:eastAsiaTheme="majorEastAsia" w:hAnsi="Perpetua" w:cstheme="majorBidi"/>
          <w:b/>
          <w:color w:val="FF0000"/>
          <w:sz w:val="28"/>
        </w:rPr>
      </w:pPr>
      <w:bookmarkStart w:id="40" w:name="_Toc487804062"/>
      <w:r w:rsidRPr="000E67C8">
        <w:rPr>
          <w:rFonts w:ascii="Perpetua" w:eastAsiaTheme="majorEastAsia" w:hAnsi="Perpetua" w:cstheme="majorBidi"/>
          <w:b/>
          <w:color w:val="FF0000"/>
          <w:sz w:val="28"/>
        </w:rPr>
        <w:t>Increasing public awareness</w:t>
      </w:r>
      <w:bookmarkEnd w:id="40"/>
    </w:p>
    <w:p w14:paraId="57D1DAD2" w14:textId="77777777" w:rsidR="000E67C8" w:rsidRPr="000E67C8" w:rsidRDefault="000E67C8" w:rsidP="000E67C8">
      <w:pPr>
        <w:spacing w:before="240" w:line="276" w:lineRule="auto"/>
        <w:jc w:val="both"/>
        <w:rPr>
          <w:rFonts w:ascii="Perpetua" w:hAnsi="Perpetua"/>
          <w:sz w:val="26"/>
          <w:szCs w:val="26"/>
        </w:rPr>
      </w:pPr>
      <w:r w:rsidRPr="000E67C8">
        <w:rPr>
          <w:rFonts w:ascii="Perpetua" w:hAnsi="Perpetua"/>
          <w:sz w:val="26"/>
          <w:szCs w:val="26"/>
        </w:rPr>
        <w:t>The law “On deposit insurance” charges the Agency, as the only financial institution for deposit insurance in the country, in fulfilment of its mandate and mission, to promote in continuance the deposit insurance scheme.</w:t>
      </w:r>
    </w:p>
    <w:p w14:paraId="28C48D45" w14:textId="77777777" w:rsidR="000E67C8" w:rsidRPr="000E67C8" w:rsidRDefault="000E67C8" w:rsidP="000E67C8">
      <w:pPr>
        <w:spacing w:before="240" w:line="276" w:lineRule="auto"/>
        <w:jc w:val="both"/>
        <w:rPr>
          <w:rFonts w:ascii="Perpetua" w:hAnsi="Perpetua"/>
          <w:sz w:val="26"/>
          <w:szCs w:val="26"/>
        </w:rPr>
      </w:pPr>
      <w:r w:rsidRPr="000E67C8">
        <w:rPr>
          <w:rFonts w:ascii="Perpetua" w:hAnsi="Perpetua"/>
          <w:sz w:val="26"/>
          <w:szCs w:val="26"/>
        </w:rPr>
        <w:t>Appreciating that informing and educating the public on the deposit insurance system is essential, not only to manage as good as possible an insurance event, but it contributes to strengthening and safeguarding financial stability in the country, during 2015, projects continued to promote deposit insurance scheme and the development of the Agency image.</w:t>
      </w:r>
    </w:p>
    <w:p w14:paraId="176C67E3" w14:textId="77777777" w:rsidR="000E67C8" w:rsidRPr="000E67C8" w:rsidRDefault="000E67C8" w:rsidP="000E67C8">
      <w:pPr>
        <w:spacing w:before="240" w:line="276" w:lineRule="auto"/>
        <w:jc w:val="both"/>
        <w:rPr>
          <w:rFonts w:ascii="Perpetua" w:hAnsi="Perpetua"/>
          <w:sz w:val="26"/>
          <w:szCs w:val="26"/>
        </w:rPr>
      </w:pPr>
      <w:r w:rsidRPr="000E67C8">
        <w:rPr>
          <w:rFonts w:ascii="Perpetua" w:hAnsi="Perpetua"/>
          <w:sz w:val="26"/>
          <w:szCs w:val="26"/>
        </w:rPr>
        <w:t>The combination of communication tools and methods aimed the biggest breakthrough at all levels of public, taking into consideration factors such as depositors and non-depositors public, levels of education, interest-group categories, age groups, demographic characteristics of the target audiences, etc.</w:t>
      </w:r>
    </w:p>
    <w:p w14:paraId="34DA1E72" w14:textId="77777777" w:rsidR="000E67C8" w:rsidRPr="000E67C8" w:rsidRDefault="000E67C8" w:rsidP="00F561B0">
      <w:pPr>
        <w:pStyle w:val="Heading3"/>
        <w:numPr>
          <w:ilvl w:val="2"/>
          <w:numId w:val="12"/>
        </w:numPr>
        <w:rPr>
          <w:rFonts w:ascii="Perpetua" w:hAnsi="Perpetua"/>
          <w:color w:val="FF0000"/>
          <w:sz w:val="26"/>
          <w:szCs w:val="26"/>
        </w:rPr>
      </w:pPr>
      <w:bookmarkStart w:id="41" w:name="_Toc487804063"/>
      <w:r w:rsidRPr="000E67C8">
        <w:rPr>
          <w:rFonts w:ascii="Perpetua" w:hAnsi="Perpetua"/>
          <w:color w:val="FF0000"/>
          <w:sz w:val="26"/>
          <w:szCs w:val="26"/>
        </w:rPr>
        <w:lastRenderedPageBreak/>
        <w:t>Cooperation with members of the deposit insurance scheme</w:t>
      </w:r>
      <w:bookmarkEnd w:id="41"/>
    </w:p>
    <w:p w14:paraId="2ECED0FC" w14:textId="77777777" w:rsidR="000E67C8" w:rsidRPr="000E67C8" w:rsidRDefault="000E67C8" w:rsidP="000E67C8">
      <w:pPr>
        <w:spacing w:before="240" w:line="276" w:lineRule="auto"/>
        <w:jc w:val="both"/>
        <w:rPr>
          <w:rFonts w:ascii="Perpetua" w:hAnsi="Perpetua"/>
          <w:sz w:val="26"/>
          <w:szCs w:val="26"/>
        </w:rPr>
      </w:pPr>
      <w:r w:rsidRPr="000E67C8">
        <w:rPr>
          <w:rFonts w:ascii="Perpetua" w:hAnsi="Perpetua"/>
          <w:sz w:val="26"/>
          <w:szCs w:val="26"/>
        </w:rPr>
        <w:t>Communication with member entities of the deposit insurance scheme is a priority for the Agency, taking into consideration the strategic role that they have in promoting the scheme. In cooperation with the Bank of Albania and the Albanian Association of Banks, during 2015, trainings were organized with the employees of banks in Tirana, Fier, Shkodra, Vlora and Korca. The main focus of the trainings was to increase further the level of education and awareness with elements of the scheme; the necessity of keeping the data of depositors in accordance with the legal defined criteria; the importance of the cooperation and contribution of all human resources to promote deposit insurance scheme; elements that contribute to the successful realization of an insurance event. Banks participating in training, qualitative discussions and questions of the participants, showed the necessity of cooperation in continuance between the Agency and the banks in different cities.</w:t>
      </w:r>
    </w:p>
    <w:p w14:paraId="4F3417A8" w14:textId="77777777" w:rsidR="000E67C8" w:rsidRPr="000E67C8" w:rsidRDefault="000E67C8" w:rsidP="00F561B0">
      <w:pPr>
        <w:pStyle w:val="Heading3"/>
        <w:numPr>
          <w:ilvl w:val="2"/>
          <w:numId w:val="12"/>
        </w:numPr>
        <w:rPr>
          <w:rFonts w:ascii="Perpetua" w:hAnsi="Perpetua"/>
          <w:color w:val="FF0000"/>
          <w:sz w:val="26"/>
          <w:szCs w:val="26"/>
          <w:lang w:val="sq-AL"/>
        </w:rPr>
      </w:pPr>
      <w:bookmarkStart w:id="42" w:name="_Toc487804064"/>
      <w:r w:rsidRPr="000E67C8">
        <w:rPr>
          <w:rFonts w:ascii="Perpetua" w:hAnsi="Perpetua"/>
          <w:color w:val="FF0000"/>
          <w:sz w:val="26"/>
          <w:szCs w:val="26"/>
          <w:lang w:val="sq-AL"/>
        </w:rPr>
        <w:t>Promotional initiatives</w:t>
      </w:r>
      <w:bookmarkEnd w:id="42"/>
    </w:p>
    <w:p w14:paraId="1C7C6625" w14:textId="77777777" w:rsidR="000E67C8" w:rsidRPr="000E67C8" w:rsidRDefault="000E67C8" w:rsidP="000E67C8">
      <w:pPr>
        <w:pStyle w:val="NoSpacing"/>
        <w:spacing w:before="240" w:after="240"/>
        <w:jc w:val="both"/>
        <w:rPr>
          <w:rFonts w:ascii="Perpetua" w:hAnsi="Perpetua" w:cs="Times New Roman"/>
          <w:color w:val="FF0000"/>
          <w:sz w:val="26"/>
          <w:szCs w:val="26"/>
          <w:lang w:val="sq-AL"/>
        </w:rPr>
      </w:pPr>
      <w:r w:rsidRPr="000E67C8">
        <w:rPr>
          <w:rFonts w:ascii="Perpetua" w:hAnsi="Perpetua" w:cs="Times New Roman"/>
          <w:color w:val="FF0000"/>
          <w:sz w:val="26"/>
          <w:szCs w:val="26"/>
          <w:lang w:val="sq-AL"/>
        </w:rPr>
        <w:t>Educational Promotional Video</w:t>
      </w:r>
    </w:p>
    <w:p w14:paraId="6B67524F" w14:textId="77777777" w:rsidR="000E67C8" w:rsidRPr="000E67C8" w:rsidRDefault="000E67C8" w:rsidP="000E67C8">
      <w:pPr>
        <w:spacing w:before="240" w:line="276" w:lineRule="auto"/>
        <w:jc w:val="both"/>
        <w:rPr>
          <w:rFonts w:ascii="Perpetua" w:hAnsi="Perpetua"/>
          <w:sz w:val="26"/>
          <w:szCs w:val="26"/>
        </w:rPr>
      </w:pPr>
      <w:r w:rsidRPr="005F1E27">
        <w:rPr>
          <w:rFonts w:ascii="Perpetua" w:hAnsi="Perpetua"/>
          <w:noProof/>
          <w:sz w:val="26"/>
          <w:szCs w:val="26"/>
          <w:highlight w:val="yellow"/>
          <w:lang w:eastAsia="en-GB"/>
        </w:rPr>
        <w:drawing>
          <wp:anchor distT="0" distB="0" distL="114300" distR="114300" simplePos="0" relativeHeight="251659264" behindDoc="0" locked="0" layoutInCell="1" allowOverlap="1" wp14:anchorId="319BA86D" wp14:editId="3B992993">
            <wp:simplePos x="0" y="0"/>
            <wp:positionH relativeFrom="margin">
              <wp:posOffset>2444750</wp:posOffset>
            </wp:positionH>
            <wp:positionV relativeFrom="paragraph">
              <wp:posOffset>488789</wp:posOffset>
            </wp:positionV>
            <wp:extent cx="3209925" cy="1792605"/>
            <wp:effectExtent l="76200" t="76200" r="142875" b="131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563" t="2861" r="6585" b="8862"/>
                    <a:stretch/>
                  </pic:blipFill>
                  <pic:spPr bwMode="auto">
                    <a:xfrm>
                      <a:off x="0" y="0"/>
                      <a:ext cx="3209925" cy="1792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67C8">
        <w:rPr>
          <w:rFonts w:ascii="Perpetua" w:hAnsi="Perpetua"/>
          <w:sz w:val="26"/>
          <w:szCs w:val="26"/>
        </w:rPr>
        <w:t>For the first time the Agency conducted a production of an educational animated video. Taking into consideration that the information transmitted via this medium, it is easily perceptible by all ages and interest groups, the Agency intention was to broadcast the video (illustrated in the most appropriate and creative way with inputs, graphics and animations) to convey basic information by describing the essential elements of the functioning of the deposit insurance scheme in Albania. The video is published on the official website of the Agency as well as on social media profiles, aiming the transmission of the information in line with trends in the field of public communication.</w:t>
      </w:r>
    </w:p>
    <w:p w14:paraId="75CD9BBB" w14:textId="77777777" w:rsidR="000E67C8" w:rsidRPr="000E67C8" w:rsidRDefault="000E67C8" w:rsidP="000E67C8">
      <w:pPr>
        <w:pStyle w:val="NoSpacing"/>
        <w:spacing w:before="240" w:after="240"/>
        <w:jc w:val="both"/>
        <w:rPr>
          <w:rFonts w:ascii="Perpetua" w:hAnsi="Perpetua" w:cs="Times New Roman"/>
          <w:color w:val="FF0000"/>
          <w:sz w:val="26"/>
          <w:szCs w:val="26"/>
          <w:lang w:val="sq-AL"/>
        </w:rPr>
      </w:pPr>
      <w:r w:rsidRPr="000E67C8">
        <w:rPr>
          <w:rFonts w:ascii="Perpetua" w:hAnsi="Perpetua" w:cs="Times New Roman"/>
          <w:color w:val="FF0000"/>
          <w:sz w:val="26"/>
          <w:szCs w:val="26"/>
          <w:lang w:val="sq-AL"/>
        </w:rPr>
        <w:t>Agency Annual Report</w:t>
      </w:r>
    </w:p>
    <w:p w14:paraId="6BDC38A9" w14:textId="77777777" w:rsidR="000E67C8" w:rsidRPr="000E67C8" w:rsidRDefault="000E67C8" w:rsidP="000E67C8">
      <w:pPr>
        <w:spacing w:before="240" w:line="276" w:lineRule="auto"/>
        <w:jc w:val="both"/>
        <w:rPr>
          <w:rFonts w:ascii="Perpetua" w:hAnsi="Perpetua"/>
          <w:sz w:val="26"/>
          <w:szCs w:val="26"/>
        </w:rPr>
      </w:pPr>
      <w:r w:rsidRPr="000E67C8">
        <w:rPr>
          <w:rFonts w:ascii="Perpetua" w:hAnsi="Perpetua"/>
          <w:sz w:val="26"/>
          <w:szCs w:val="26"/>
        </w:rPr>
        <w:t xml:space="preserve">The Agency is a public institution, which in accordance with the Law “On Deposit Insurance” reports to the Parliament, to The Council Of Ministers and to the Supervisory Authority for its annual activity. Based on the principles of transparency and accountability the Agency in 2015 prepared and reported the Annual Report for 2014. Judging that this material is a comprehensive and detailed source of information of the activities of the Agency, the Annual Report, after </w:t>
      </w:r>
      <w:r w:rsidRPr="000E67C8">
        <w:rPr>
          <w:rFonts w:ascii="Perpetua" w:hAnsi="Perpetua"/>
          <w:sz w:val="26"/>
          <w:szCs w:val="26"/>
        </w:rPr>
        <w:lastRenderedPageBreak/>
        <w:t>reporting to the Parliament, it is distributed to groups of interests and also published on the official website of the Agency.</w:t>
      </w:r>
    </w:p>
    <w:p w14:paraId="7A76A29A" w14:textId="77777777" w:rsidR="000E67C8" w:rsidRPr="000E67C8" w:rsidRDefault="000E67C8" w:rsidP="000E67C8">
      <w:pPr>
        <w:spacing w:before="240" w:line="276" w:lineRule="auto"/>
        <w:jc w:val="both"/>
        <w:rPr>
          <w:rFonts w:ascii="Perpetua" w:hAnsi="Perpetua"/>
          <w:sz w:val="26"/>
          <w:szCs w:val="26"/>
        </w:rPr>
      </w:pPr>
      <w:r w:rsidRPr="000E67C8">
        <w:rPr>
          <w:rFonts w:ascii="Perpetua" w:hAnsi="Perpetua" w:cstheme="minorBidi"/>
          <w:color w:val="FF0000"/>
          <w:sz w:val="26"/>
          <w:szCs w:val="26"/>
          <w:lang w:val="sq-AL"/>
        </w:rPr>
        <w:t xml:space="preserve">Official Internet Website of the Agency, </w:t>
      </w:r>
      <w:r w:rsidRPr="000E67C8">
        <w:rPr>
          <w:rFonts w:ascii="Perpetua" w:hAnsi="Perpetua" w:cstheme="minorBidi"/>
          <w:sz w:val="26"/>
          <w:szCs w:val="26"/>
          <w:lang w:val="sq-AL"/>
        </w:rPr>
        <w:t>as an important mean of exposure of the role and the</w:t>
      </w:r>
      <w:r w:rsidRPr="000E67C8">
        <w:rPr>
          <w:rFonts w:ascii="Perpetua" w:hAnsi="Perpetua"/>
          <w:sz w:val="26"/>
          <w:szCs w:val="26"/>
        </w:rPr>
        <w:t xml:space="preserve"> function of the Agency, during 2015 was developed as in the visual aspect, also in the content. Configuration sections and new web applications of the site allowed greater interaction with the interested parties, compared to previous years.</w:t>
      </w:r>
    </w:p>
    <w:p w14:paraId="3448EDD9" w14:textId="77777777" w:rsidR="000F7CA2" w:rsidRPr="000E67C8" w:rsidRDefault="000E67C8" w:rsidP="000E67C8">
      <w:pPr>
        <w:spacing w:before="240" w:line="276" w:lineRule="auto"/>
        <w:jc w:val="both"/>
        <w:rPr>
          <w:rFonts w:ascii="Perpetua" w:hAnsi="Perpetua"/>
          <w:sz w:val="26"/>
          <w:szCs w:val="26"/>
        </w:rPr>
      </w:pPr>
      <w:r w:rsidRPr="000E67C8">
        <w:rPr>
          <w:rFonts w:ascii="Perpetua" w:hAnsi="Perpetua"/>
          <w:color w:val="FF0000"/>
          <w:sz w:val="26"/>
          <w:szCs w:val="26"/>
        </w:rPr>
        <w:t>Agency Profile in Social Networks</w:t>
      </w:r>
      <w:r w:rsidRPr="000E67C8">
        <w:rPr>
          <w:rFonts w:ascii="Perpetua" w:hAnsi="Perpetua"/>
          <w:sz w:val="26"/>
          <w:szCs w:val="26"/>
        </w:rPr>
        <w:t>, innovative in communications with the public, is updated continuously with materials and information about the activity of the Agency. Besides the transparency with the depositors and the public, this profile enables the creation of channels of communication with two-way flow of information.</w:t>
      </w:r>
    </w:p>
    <w:p w14:paraId="6CD97A11" w14:textId="77777777" w:rsidR="000E67C8" w:rsidRPr="000E67C8" w:rsidRDefault="000E67C8" w:rsidP="000E67C8">
      <w:pPr>
        <w:pStyle w:val="Heading2"/>
        <w:spacing w:after="240"/>
        <w:ind w:left="720" w:hanging="720"/>
        <w:rPr>
          <w:rFonts w:ascii="Perpetua" w:hAnsi="Perpetua"/>
          <w:b/>
          <w:color w:val="FF0000"/>
          <w:sz w:val="28"/>
          <w:lang w:val="sq-AL"/>
        </w:rPr>
      </w:pPr>
      <w:bookmarkStart w:id="43" w:name="_Toc487804065"/>
      <w:r>
        <w:rPr>
          <w:rFonts w:ascii="Perpetua" w:hAnsi="Perpetua"/>
          <w:b/>
          <w:color w:val="FF0000"/>
          <w:sz w:val="28"/>
          <w:lang w:val="sq-AL"/>
        </w:rPr>
        <w:t>2.4.</w:t>
      </w:r>
      <w:r>
        <w:rPr>
          <w:rFonts w:ascii="Perpetua" w:hAnsi="Perpetua"/>
          <w:b/>
          <w:color w:val="FF0000"/>
          <w:sz w:val="28"/>
          <w:lang w:val="sq-AL"/>
        </w:rPr>
        <w:tab/>
      </w:r>
      <w:r w:rsidRPr="00725167">
        <w:rPr>
          <w:rFonts w:ascii="Perpetua" w:hAnsi="Perpetua"/>
          <w:b/>
          <w:color w:val="FF0000"/>
          <w:sz w:val="28"/>
        </w:rPr>
        <w:t>The efficient administration of the Agency</w:t>
      </w:r>
      <w:bookmarkEnd w:id="43"/>
    </w:p>
    <w:p w14:paraId="6E2CCF04" w14:textId="77777777" w:rsidR="000E67C8" w:rsidRPr="00725167" w:rsidRDefault="000E67C8" w:rsidP="000E67C8">
      <w:pPr>
        <w:jc w:val="both"/>
        <w:rPr>
          <w:rFonts w:ascii="Perpetua" w:hAnsi="Perpetua"/>
          <w:sz w:val="26"/>
          <w:szCs w:val="26"/>
        </w:rPr>
      </w:pPr>
      <w:r w:rsidRPr="00725167">
        <w:rPr>
          <w:rFonts w:ascii="Perpetua" w:hAnsi="Perpetua"/>
          <w:sz w:val="26"/>
          <w:szCs w:val="26"/>
        </w:rPr>
        <w:t>The fulfilment of the Agency’s legal mission and objectives in safeguarding financial stability and the citizens trust in it, requires an efficient financial administration of the</w:t>
      </w:r>
      <w:r>
        <w:rPr>
          <w:rFonts w:ascii="Perpetua" w:hAnsi="Perpetua"/>
          <w:sz w:val="26"/>
          <w:szCs w:val="26"/>
        </w:rPr>
        <w:t xml:space="preserve"> </w:t>
      </w:r>
      <w:r w:rsidRPr="00725167">
        <w:rPr>
          <w:rFonts w:ascii="Perpetua" w:hAnsi="Perpetua"/>
          <w:sz w:val="26"/>
          <w:szCs w:val="26"/>
        </w:rPr>
        <w:t>Agency’s</w:t>
      </w:r>
      <w:r>
        <w:rPr>
          <w:rFonts w:ascii="Perpetua" w:hAnsi="Perpetua"/>
          <w:sz w:val="26"/>
          <w:szCs w:val="26"/>
        </w:rPr>
        <w:t xml:space="preserve"> insurance</w:t>
      </w:r>
      <w:r w:rsidRPr="00725167">
        <w:rPr>
          <w:rFonts w:ascii="Perpetua" w:hAnsi="Perpetua"/>
          <w:sz w:val="26"/>
          <w:szCs w:val="26"/>
        </w:rPr>
        <w:t xml:space="preserve"> funds. The Agency is in a continuous process of improving its operational efficiency, which is why the Agency’s Strategic Plan 2015-2017 envisages the fulfilment of the approved budget with a variance of not more than 10% as a key success factor for the Agency. This requires a comprehensive engagement from all sectors of the Agency to draft a challenging and realistic budget, as well as monitor its timely fulfilment throughout the year.</w:t>
      </w:r>
    </w:p>
    <w:p w14:paraId="480EBB92" w14:textId="77777777" w:rsidR="000E67C8" w:rsidRPr="00725167" w:rsidRDefault="000E67C8" w:rsidP="000E67C8">
      <w:pPr>
        <w:spacing w:line="276" w:lineRule="auto"/>
        <w:jc w:val="both"/>
        <w:rPr>
          <w:rFonts w:ascii="Perpetua" w:hAnsi="Perpetua"/>
          <w:sz w:val="26"/>
          <w:szCs w:val="26"/>
        </w:rPr>
      </w:pPr>
      <w:bookmarkStart w:id="44" w:name="_Toc443399194"/>
      <w:bookmarkEnd w:id="44"/>
      <w:r w:rsidRPr="00725167">
        <w:rPr>
          <w:rFonts w:ascii="Perpetua" w:hAnsi="Perpetua"/>
          <w:sz w:val="26"/>
          <w:szCs w:val="26"/>
        </w:rPr>
        <w:t>The fulfilment of the legal objectives of the scheme and Strategic Plan have financial implications. In drafting the budget, the Agency is focused in making available the necessary funds for achieving the scheme’s objectives, as well as administer with efficiency its financial means in order to further expand deposit insurance funds. Periodic monitoring of its fulfilment enables the managing bodies to evaluate the institutions’ work throughout the year in line with the objectives set and undertake any steps considered necessary to address issues which require further attention.</w:t>
      </w:r>
    </w:p>
    <w:p w14:paraId="783EB843" w14:textId="77777777" w:rsidR="000E67C8" w:rsidRPr="00725167" w:rsidRDefault="000E67C8" w:rsidP="000E67C8">
      <w:pPr>
        <w:spacing w:line="276" w:lineRule="auto"/>
        <w:jc w:val="both"/>
        <w:rPr>
          <w:rFonts w:ascii="Perpetua" w:hAnsi="Perpetua"/>
          <w:sz w:val="26"/>
          <w:szCs w:val="26"/>
        </w:rPr>
      </w:pPr>
      <w:r w:rsidRPr="00725167">
        <w:rPr>
          <w:rFonts w:ascii="Perpetua" w:hAnsi="Perpetua"/>
          <w:sz w:val="26"/>
          <w:szCs w:val="26"/>
        </w:rPr>
        <w:t>In drafting the budget for year 2015, the Agency aimed at keeping current expenses not more than 25% of the planed income from the administration of its financial means. These expenses were envisaged as 5.7% of the total of the Agency’s planed income. The Agency’s structures evaluated that keeping these expenses in these values enables the fulfilment of its objectives as well as guarantees the expansion of the deposit insurance fund through net income throughout the year. As a result, realistic planning and realization of income, particularly from the administration of financial means, is an important condition for the expansion of the deposit insurance funds and expenses related to the Agency’s activity and objectives for the year.</w:t>
      </w:r>
    </w:p>
    <w:p w14:paraId="192FD595" w14:textId="77777777" w:rsidR="000E67C8" w:rsidRPr="00725167" w:rsidRDefault="000E67C8" w:rsidP="000E67C8">
      <w:pPr>
        <w:jc w:val="both"/>
        <w:rPr>
          <w:rFonts w:ascii="Perpetua" w:hAnsi="Perpetua"/>
          <w:sz w:val="26"/>
          <w:szCs w:val="26"/>
        </w:rPr>
      </w:pPr>
      <w:r w:rsidRPr="00725167">
        <w:rPr>
          <w:rFonts w:ascii="Perpetua" w:hAnsi="Perpetua"/>
          <w:sz w:val="26"/>
          <w:szCs w:val="26"/>
        </w:rPr>
        <w:t xml:space="preserve">For the year ending on 31st December 2015, total income was realised 102.8% from the plan for the year. Income from insurance premiums and the administration of financial means were </w:t>
      </w:r>
      <w:r w:rsidRPr="00725167">
        <w:rPr>
          <w:rFonts w:ascii="Perpetua" w:hAnsi="Perpetua"/>
          <w:sz w:val="26"/>
          <w:szCs w:val="26"/>
        </w:rPr>
        <w:lastRenderedPageBreak/>
        <w:t>realised 101.4% and 104.9% respectively. Current expenses were realised 90.8% compared to the plan, with operating expenses realised 89.9% and personnel expenses 92%. The plan for capital expenses for year 2015 was realised 55.2% as some of the projects planned for 2015 were re-evaluated and postponed for the next year. Based on the data above, current expenses for the year amount to 22% of the income from the administration of financial means and 5% of the total income.</w:t>
      </w:r>
    </w:p>
    <w:p w14:paraId="5B2176B1" w14:textId="77777777" w:rsidR="000E67C8" w:rsidRPr="004F0226" w:rsidRDefault="000E67C8" w:rsidP="000E67C8">
      <w:pPr>
        <w:pStyle w:val="Heading2"/>
        <w:keepLines/>
        <w:numPr>
          <w:ilvl w:val="1"/>
          <w:numId w:val="7"/>
        </w:numPr>
        <w:spacing w:line="259" w:lineRule="auto"/>
        <w:rPr>
          <w:rFonts w:ascii="Perpetua" w:hAnsi="Perpetua" w:cstheme="minorBidi"/>
          <w:b/>
          <w:color w:val="FF0000"/>
        </w:rPr>
      </w:pPr>
      <w:bookmarkStart w:id="45" w:name="_Toc487804066"/>
      <w:r w:rsidRPr="004F0226">
        <w:rPr>
          <w:rFonts w:ascii="Perpetua" w:hAnsi="Perpetua" w:cstheme="minorBidi"/>
          <w:b/>
          <w:color w:val="FF0000"/>
        </w:rPr>
        <w:t>Expansion of the deposit insurance scheme</w:t>
      </w:r>
      <w:bookmarkEnd w:id="45"/>
      <w:r w:rsidRPr="004F0226">
        <w:rPr>
          <w:rFonts w:ascii="Perpetua" w:hAnsi="Perpetua" w:cstheme="minorBidi"/>
          <w:b/>
          <w:color w:val="FF0000"/>
        </w:rPr>
        <w:t xml:space="preserve"> </w:t>
      </w:r>
    </w:p>
    <w:p w14:paraId="2DD33BAB" w14:textId="77777777" w:rsidR="000E67C8" w:rsidRPr="004F0226" w:rsidRDefault="000E67C8" w:rsidP="000E67C8">
      <w:pPr>
        <w:spacing w:before="240" w:line="276" w:lineRule="auto"/>
        <w:jc w:val="both"/>
        <w:rPr>
          <w:rFonts w:ascii="Perpetua" w:hAnsi="Perpetua"/>
          <w:sz w:val="26"/>
          <w:szCs w:val="26"/>
        </w:rPr>
      </w:pPr>
      <w:r w:rsidRPr="004F0226">
        <w:rPr>
          <w:rFonts w:ascii="Perpetua" w:hAnsi="Perpetua"/>
          <w:sz w:val="26"/>
          <w:szCs w:val="26"/>
        </w:rPr>
        <w:t>During 2015, significant developments took place following the legal initiative undertaken by the Agency aiming to harmonize the deposit insurance scheme with the Directive of the European Parliament and Council 2014/49/EU “On deposit guarantee schemes”. The main goal of this legal initiative is the inclusion in the scheme of deposits of the traders and companies, in accordance with the recommendations of Albanian Parliament's resolution dated 06.11.2015 "On the assessment of the activity of the Deposit Insurance Agency for 2014", as well as the recommendations of the World Bank mission in the framework of the action plan for the implementation of development policy for modernizing the financial sector. Expansion of the deposit insurance scheme by including deposits of traders and companies is proposed to take effect on January 1st, 2017 and aims to contribute in strengthening of the financial stability in Albania, through increasing the base of depositors protected by the scheme, and increasing their confidence in the deposit insurance scheme.</w:t>
      </w:r>
    </w:p>
    <w:p w14:paraId="1BA4E105" w14:textId="77777777" w:rsidR="000E67C8" w:rsidRPr="004F0226" w:rsidRDefault="000E67C8" w:rsidP="000E67C8">
      <w:pPr>
        <w:spacing w:before="240" w:line="276" w:lineRule="auto"/>
        <w:jc w:val="both"/>
        <w:rPr>
          <w:rFonts w:ascii="Perpetua" w:hAnsi="Perpetua"/>
          <w:sz w:val="26"/>
          <w:szCs w:val="26"/>
        </w:rPr>
      </w:pPr>
      <w:r w:rsidRPr="004F0226">
        <w:rPr>
          <w:rFonts w:ascii="Perpetua" w:hAnsi="Perpetua"/>
          <w:sz w:val="26"/>
          <w:szCs w:val="26"/>
        </w:rPr>
        <w:t xml:space="preserve">An important part of the legal amendments, drafted by the Agency, are as well the provisions aimed at guaranteeing a prompt access of the Agency in liquidity through a review of its right to sell and repurchase securities to the Bank of Albania, as well as the coordination of the restructuring process of the savings and loans associations and their unions, with their inclusion within the scheme through a review of the transitional provisions of the applicable law on deposit insurance. </w:t>
      </w:r>
    </w:p>
    <w:p w14:paraId="1F5944C0" w14:textId="77777777" w:rsidR="000E67C8" w:rsidRPr="004F0226" w:rsidRDefault="000E67C8" w:rsidP="000E67C8">
      <w:pPr>
        <w:spacing w:before="240" w:line="276" w:lineRule="auto"/>
        <w:jc w:val="both"/>
        <w:rPr>
          <w:rFonts w:ascii="Perpetua" w:hAnsi="Perpetua"/>
          <w:sz w:val="26"/>
          <w:szCs w:val="26"/>
        </w:rPr>
      </w:pPr>
      <w:r w:rsidRPr="004F0226">
        <w:rPr>
          <w:rFonts w:ascii="Perpetua" w:hAnsi="Perpetua"/>
          <w:sz w:val="26"/>
          <w:szCs w:val="26"/>
        </w:rPr>
        <w:t xml:space="preserve">During 2015, the financial sector of SCA has passed though deep structural and regulatory changes, which were initiated by the World Bank, aiming to consolidate and strengthened this sector. The Agency worked closely with the Supervisory Authority, as well as with the World Bank and savings and loans associations to initiate the legal initiative on the proposal of these amendments. </w:t>
      </w:r>
    </w:p>
    <w:p w14:paraId="3EAF3B9D" w14:textId="77777777" w:rsidR="000E67C8" w:rsidRPr="004F0226" w:rsidRDefault="000E67C8" w:rsidP="000E67C8">
      <w:pPr>
        <w:spacing w:before="240" w:line="276" w:lineRule="auto"/>
        <w:jc w:val="both"/>
        <w:rPr>
          <w:rFonts w:ascii="Perpetua" w:hAnsi="Perpetua"/>
          <w:sz w:val="26"/>
          <w:szCs w:val="26"/>
        </w:rPr>
      </w:pPr>
      <w:r w:rsidRPr="004F0226">
        <w:rPr>
          <w:rFonts w:ascii="Perpetua" w:hAnsi="Perpetua"/>
          <w:sz w:val="26"/>
          <w:szCs w:val="26"/>
        </w:rPr>
        <w:t xml:space="preserve">At the end of 2015, the Agency completed the consultation phase for these legislative changes with public institutions, and actually the draft-law is under review for approval by the respective legislative bodies. Legal amendments drafted by the Agency, are a step forward for continued development of the deposit insurance scheme of our country in accordance with International </w:t>
      </w:r>
      <w:r w:rsidRPr="004F0226">
        <w:rPr>
          <w:rFonts w:ascii="Perpetua" w:hAnsi="Perpetua"/>
          <w:sz w:val="26"/>
          <w:szCs w:val="26"/>
        </w:rPr>
        <w:lastRenderedPageBreak/>
        <w:t>Standards for Effective Deposit Insurance Systems, as well as Directive 2014/49/EU of the European Parliament and Council "On deposit guarantee schemes".</w:t>
      </w:r>
    </w:p>
    <w:p w14:paraId="638EC2E9" w14:textId="77777777" w:rsidR="000E67C8" w:rsidRPr="00435560" w:rsidRDefault="000E67C8" w:rsidP="000E67C8">
      <w:pPr>
        <w:pStyle w:val="Heading2"/>
        <w:keepLines/>
        <w:numPr>
          <w:ilvl w:val="1"/>
          <w:numId w:val="7"/>
        </w:numPr>
        <w:spacing w:line="259" w:lineRule="auto"/>
        <w:rPr>
          <w:rFonts w:ascii="Perpetua" w:hAnsi="Perpetua"/>
          <w:b/>
          <w:color w:val="FF0000"/>
          <w:sz w:val="28"/>
        </w:rPr>
      </w:pPr>
      <w:bookmarkStart w:id="46" w:name="_Toc442780623"/>
      <w:bookmarkStart w:id="47" w:name="_Toc443399196"/>
      <w:bookmarkStart w:id="48" w:name="_Toc487804067"/>
      <w:r w:rsidRPr="00435560">
        <w:rPr>
          <w:rFonts w:ascii="Perpetua" w:hAnsi="Perpetua"/>
          <w:b/>
          <w:color w:val="FF0000"/>
          <w:sz w:val="28"/>
        </w:rPr>
        <w:t xml:space="preserve">International </w:t>
      </w:r>
      <w:r>
        <w:rPr>
          <w:rFonts w:ascii="Perpetua" w:hAnsi="Perpetua"/>
          <w:b/>
          <w:color w:val="FF0000"/>
          <w:sz w:val="28"/>
        </w:rPr>
        <w:t>collaboration</w:t>
      </w:r>
      <w:bookmarkEnd w:id="46"/>
      <w:bookmarkEnd w:id="47"/>
      <w:bookmarkEnd w:id="48"/>
      <w:r w:rsidRPr="00435560">
        <w:rPr>
          <w:rFonts w:ascii="Perpetua" w:hAnsi="Perpetua"/>
          <w:b/>
          <w:color w:val="FF0000"/>
          <w:sz w:val="28"/>
        </w:rPr>
        <w:t xml:space="preserve"> </w:t>
      </w:r>
    </w:p>
    <w:p w14:paraId="76D84C6B" w14:textId="77777777" w:rsidR="000E67C8" w:rsidRPr="00435560" w:rsidRDefault="000E67C8" w:rsidP="000E67C8">
      <w:pPr>
        <w:spacing w:before="240" w:line="276" w:lineRule="auto"/>
        <w:jc w:val="both"/>
        <w:rPr>
          <w:rFonts w:ascii="Perpetua" w:hAnsi="Perpetua"/>
          <w:sz w:val="26"/>
          <w:szCs w:val="26"/>
        </w:rPr>
      </w:pPr>
      <w:bookmarkStart w:id="49" w:name="_Toc442780624"/>
      <w:r>
        <w:rPr>
          <w:rFonts w:ascii="Perpetua" w:hAnsi="Perpetua"/>
          <w:sz w:val="26"/>
          <w:szCs w:val="26"/>
        </w:rPr>
        <w:t>The Agency adheres in international deposit insurance organizations and thus the activities related to international collaboration area have continued throughout 2015.</w:t>
      </w:r>
      <w:bookmarkEnd w:id="49"/>
    </w:p>
    <w:p w14:paraId="62F894AA" w14:textId="77777777" w:rsidR="000E67C8" w:rsidRDefault="000E67C8" w:rsidP="000E67C8">
      <w:pPr>
        <w:spacing w:before="240" w:line="276" w:lineRule="auto"/>
        <w:jc w:val="both"/>
        <w:rPr>
          <w:rFonts w:ascii="Perpetua" w:hAnsi="Perpetua"/>
          <w:sz w:val="26"/>
          <w:szCs w:val="26"/>
        </w:rPr>
      </w:pPr>
      <w:r w:rsidRPr="00435560">
        <w:rPr>
          <w:rFonts w:ascii="Perpetua" w:hAnsi="Perpetua"/>
          <w:sz w:val="26"/>
          <w:szCs w:val="26"/>
        </w:rPr>
        <w:t>Since its full-rights membership in 2003, the agency holds continuous relations with IADI</w:t>
      </w:r>
      <w:r>
        <w:rPr>
          <w:rFonts w:ascii="Perpetua" w:hAnsi="Perpetua"/>
          <w:sz w:val="26"/>
          <w:szCs w:val="26"/>
        </w:rPr>
        <w:t xml:space="preserve"> (International Association of Deposit Insurers)</w:t>
      </w:r>
      <w:r w:rsidRPr="00435560">
        <w:rPr>
          <w:rFonts w:ascii="Perpetua" w:hAnsi="Perpetua"/>
          <w:sz w:val="26"/>
          <w:szCs w:val="26"/>
        </w:rPr>
        <w:t>, mainly through participation in its annual general assemblies, which serve as forums to exchange views on the deposit insurance field</w:t>
      </w:r>
      <w:r>
        <w:rPr>
          <w:rFonts w:ascii="Perpetua" w:hAnsi="Perpetua"/>
          <w:sz w:val="26"/>
          <w:szCs w:val="26"/>
        </w:rPr>
        <w:t>. In recent years, the role of IADI in the international financial environment has increased significantly due to the inclusion of its Core Principles for Effective</w:t>
      </w:r>
      <w:r w:rsidRPr="005F6A8C">
        <w:rPr>
          <w:rFonts w:ascii="Perpetua" w:hAnsi="Perpetua"/>
          <w:sz w:val="26"/>
          <w:szCs w:val="26"/>
        </w:rPr>
        <w:t xml:space="preserve"> Deposits Insurance </w:t>
      </w:r>
      <w:r>
        <w:rPr>
          <w:rFonts w:ascii="Perpetua" w:hAnsi="Perpetua"/>
          <w:sz w:val="26"/>
          <w:szCs w:val="26"/>
        </w:rPr>
        <w:t xml:space="preserve">schemes </w:t>
      </w:r>
      <w:r w:rsidRPr="005F6A8C">
        <w:rPr>
          <w:rFonts w:ascii="Perpetua" w:hAnsi="Perpetua"/>
          <w:sz w:val="26"/>
          <w:szCs w:val="26"/>
        </w:rPr>
        <w:t xml:space="preserve">in IMF’s </w:t>
      </w:r>
      <w:r>
        <w:rPr>
          <w:rFonts w:ascii="Perpetua" w:hAnsi="Perpetua"/>
          <w:sz w:val="26"/>
          <w:szCs w:val="26"/>
        </w:rPr>
        <w:t xml:space="preserve">and World Bank’s </w:t>
      </w:r>
      <w:r w:rsidRPr="005F6A8C">
        <w:rPr>
          <w:rFonts w:ascii="Perpetua" w:hAnsi="Perpetua"/>
          <w:sz w:val="26"/>
          <w:szCs w:val="26"/>
        </w:rPr>
        <w:t>financial systems assessment program (FSAP)</w:t>
      </w:r>
      <w:r w:rsidRPr="00435560">
        <w:rPr>
          <w:rFonts w:ascii="Perpetua" w:hAnsi="Perpetua"/>
          <w:sz w:val="26"/>
          <w:szCs w:val="26"/>
        </w:rPr>
        <w:t xml:space="preserve">. </w:t>
      </w:r>
      <w:r>
        <w:rPr>
          <w:rFonts w:ascii="Perpetua" w:hAnsi="Perpetua"/>
          <w:sz w:val="26"/>
          <w:szCs w:val="26"/>
        </w:rPr>
        <w:t>The Agency</w:t>
      </w:r>
      <w:r w:rsidRPr="005F6A8C">
        <w:rPr>
          <w:rFonts w:ascii="Perpetua" w:hAnsi="Perpetua"/>
          <w:sz w:val="26"/>
          <w:szCs w:val="26"/>
        </w:rPr>
        <w:t xml:space="preserve"> is included in special IADI committees and structures at a regional scale and beyond, such as </w:t>
      </w:r>
      <w:r>
        <w:rPr>
          <w:rFonts w:ascii="Perpetua" w:hAnsi="Perpetua"/>
          <w:sz w:val="26"/>
          <w:szCs w:val="26"/>
        </w:rPr>
        <w:t>the European Regional Committee and</w:t>
      </w:r>
      <w:r w:rsidRPr="005F6A8C">
        <w:rPr>
          <w:rFonts w:ascii="Perpetua" w:hAnsi="Perpetua"/>
          <w:sz w:val="26"/>
          <w:szCs w:val="26"/>
        </w:rPr>
        <w:t xml:space="preserve"> the Finance and Planning Committee</w:t>
      </w:r>
      <w:r>
        <w:rPr>
          <w:rFonts w:ascii="Perpetua" w:hAnsi="Perpetua"/>
          <w:sz w:val="26"/>
          <w:szCs w:val="26"/>
        </w:rPr>
        <w:t xml:space="preserve">. Participation in such high level committees served to the Agency as a platform in order to give its contribution in important decision making processes for the governance of the association. </w:t>
      </w:r>
    </w:p>
    <w:p w14:paraId="756C17E5" w14:textId="77777777" w:rsidR="000E67C8" w:rsidRPr="00435560" w:rsidRDefault="000E67C8" w:rsidP="000E67C8">
      <w:pPr>
        <w:spacing w:before="240" w:line="276" w:lineRule="auto"/>
        <w:jc w:val="both"/>
        <w:rPr>
          <w:rFonts w:ascii="Perpetua" w:hAnsi="Perpetua"/>
          <w:sz w:val="26"/>
          <w:szCs w:val="26"/>
        </w:rPr>
      </w:pPr>
      <w:r>
        <w:rPr>
          <w:rFonts w:ascii="Perpetua" w:hAnsi="Perpetua"/>
          <w:sz w:val="26"/>
          <w:szCs w:val="26"/>
        </w:rPr>
        <w:t>The Albanian Deposit Insurance Agency is also a full-right member of the European Forum of Deposit Insurers</w:t>
      </w:r>
      <w:r w:rsidRPr="00435560">
        <w:rPr>
          <w:rFonts w:ascii="Perpetua" w:hAnsi="Perpetua"/>
          <w:sz w:val="26"/>
          <w:szCs w:val="26"/>
        </w:rPr>
        <w:t xml:space="preserve"> (EFDI). EFDI </w:t>
      </w:r>
      <w:r>
        <w:rPr>
          <w:rFonts w:ascii="Perpetua" w:hAnsi="Perpetua"/>
          <w:sz w:val="26"/>
          <w:szCs w:val="26"/>
        </w:rPr>
        <w:t>is the main partner of the European Commission concerning matters of deposit insurance. In the framework of recent developments relating to deposit insurance with the approval of the Directive</w:t>
      </w:r>
      <w:r w:rsidRPr="00435560">
        <w:rPr>
          <w:rFonts w:ascii="Perpetua" w:hAnsi="Perpetua"/>
          <w:sz w:val="26"/>
          <w:szCs w:val="26"/>
        </w:rPr>
        <w:t xml:space="preserve"> 2014/59/EU </w:t>
      </w:r>
      <w:r>
        <w:rPr>
          <w:rFonts w:ascii="Perpetua" w:hAnsi="Perpetua"/>
          <w:sz w:val="26"/>
          <w:szCs w:val="26"/>
        </w:rPr>
        <w:t>“</w:t>
      </w:r>
      <w:r w:rsidRPr="00435560">
        <w:rPr>
          <w:rFonts w:ascii="Perpetua" w:hAnsi="Perpetua"/>
          <w:sz w:val="26"/>
          <w:szCs w:val="26"/>
        </w:rPr>
        <w:t>Bank Recovery and Resolution Directive</w:t>
      </w:r>
      <w:r>
        <w:rPr>
          <w:rFonts w:ascii="Perpetua" w:hAnsi="Perpetua"/>
          <w:sz w:val="26"/>
          <w:szCs w:val="26"/>
        </w:rPr>
        <w:t>”</w:t>
      </w:r>
      <w:r w:rsidRPr="00435560">
        <w:rPr>
          <w:rFonts w:ascii="Perpetua" w:hAnsi="Perpetua"/>
          <w:sz w:val="26"/>
          <w:szCs w:val="26"/>
        </w:rPr>
        <w:t xml:space="preserve"> </w:t>
      </w:r>
      <w:r>
        <w:rPr>
          <w:rFonts w:ascii="Perpetua" w:hAnsi="Perpetua"/>
          <w:sz w:val="26"/>
          <w:szCs w:val="26"/>
        </w:rPr>
        <w:t xml:space="preserve">and </w:t>
      </w:r>
      <w:r w:rsidRPr="00435560">
        <w:rPr>
          <w:rFonts w:ascii="Perpetua" w:hAnsi="Perpetua"/>
          <w:sz w:val="26"/>
          <w:szCs w:val="26"/>
        </w:rPr>
        <w:t>Dire</w:t>
      </w:r>
      <w:r>
        <w:rPr>
          <w:rFonts w:ascii="Perpetua" w:hAnsi="Perpetua"/>
          <w:sz w:val="26"/>
          <w:szCs w:val="26"/>
        </w:rPr>
        <w:t>ctive</w:t>
      </w:r>
      <w:r w:rsidRPr="00435560">
        <w:rPr>
          <w:rFonts w:ascii="Perpetua" w:hAnsi="Perpetua"/>
          <w:sz w:val="26"/>
          <w:szCs w:val="26"/>
        </w:rPr>
        <w:t xml:space="preserve"> 2014/49/EU </w:t>
      </w:r>
      <w:r>
        <w:rPr>
          <w:rFonts w:ascii="Perpetua" w:hAnsi="Perpetua"/>
          <w:sz w:val="26"/>
          <w:szCs w:val="26"/>
        </w:rPr>
        <w:t>“On deposit guarantee schemes”</w:t>
      </w:r>
      <w:r w:rsidRPr="00435560">
        <w:rPr>
          <w:rFonts w:ascii="Perpetua" w:hAnsi="Perpetua"/>
          <w:sz w:val="26"/>
          <w:szCs w:val="26"/>
        </w:rPr>
        <w:t xml:space="preserve">, </w:t>
      </w:r>
      <w:r>
        <w:rPr>
          <w:rFonts w:ascii="Perpetua" w:hAnsi="Perpetua"/>
          <w:sz w:val="26"/>
          <w:szCs w:val="26"/>
        </w:rPr>
        <w:t xml:space="preserve">collaboration with EFDI is considered of particular importance in light of Albania aspirations for joining the European Union. </w:t>
      </w:r>
    </w:p>
    <w:p w14:paraId="4EDD99BC" w14:textId="77777777" w:rsidR="000E67C8" w:rsidRPr="000E67C8" w:rsidRDefault="000E67C8" w:rsidP="000E67C8">
      <w:pPr>
        <w:pStyle w:val="ListParagraph"/>
        <w:keepNext/>
        <w:numPr>
          <w:ilvl w:val="2"/>
          <w:numId w:val="7"/>
        </w:numPr>
        <w:spacing w:before="40" w:after="0"/>
        <w:outlineLvl w:val="2"/>
        <w:rPr>
          <w:rFonts w:ascii="Perpetua" w:eastAsia="Times New Roman" w:hAnsi="Perpetua"/>
          <w:b/>
          <w:bCs/>
          <w:color w:val="FF0000"/>
          <w:sz w:val="26"/>
          <w:szCs w:val="26"/>
        </w:rPr>
      </w:pPr>
      <w:bookmarkStart w:id="50" w:name="_Toc487804068"/>
      <w:r w:rsidRPr="000E67C8">
        <w:rPr>
          <w:rFonts w:ascii="Perpetua" w:eastAsia="Times New Roman" w:hAnsi="Perpetua"/>
          <w:color w:val="FF0000"/>
          <w:sz w:val="26"/>
          <w:szCs w:val="26"/>
        </w:rPr>
        <w:t>Experience exchange with regional counterpart agencies</w:t>
      </w:r>
      <w:bookmarkEnd w:id="50"/>
    </w:p>
    <w:p w14:paraId="265FB0B8" w14:textId="77777777" w:rsidR="000E67C8" w:rsidRPr="00586A0F" w:rsidRDefault="000E67C8" w:rsidP="000E67C8">
      <w:pPr>
        <w:spacing w:before="240" w:after="0" w:line="276" w:lineRule="auto"/>
        <w:jc w:val="both"/>
        <w:rPr>
          <w:rFonts w:eastAsia="Calibri"/>
        </w:rPr>
      </w:pPr>
      <w:r w:rsidRPr="00586A0F">
        <w:rPr>
          <w:rFonts w:ascii="Perpetua" w:eastAsia="Calibri" w:hAnsi="Perpetua"/>
          <w:sz w:val="26"/>
          <w:szCs w:val="26"/>
        </w:rPr>
        <w:t>In line with similar regulatory and operational initiatives for the consolidation of the Agency’s capacities, the exchange of experiences with regional counterpart deposit insurance agencies was judged as important during 2015. For this purpose, the Agency conducted meetings with homologous institutions which have had insurance events in their respective jurisdictions, and which, from the perspective of their organisational structure and regulatory functions, are similar to ADIA.</w:t>
      </w:r>
    </w:p>
    <w:p w14:paraId="400B3A24" w14:textId="77777777" w:rsidR="000E67C8" w:rsidRPr="00586A0F" w:rsidRDefault="000E67C8" w:rsidP="000E67C8">
      <w:pPr>
        <w:spacing w:before="240" w:after="0" w:line="276" w:lineRule="auto"/>
        <w:jc w:val="both"/>
        <w:rPr>
          <w:rFonts w:ascii="Perpetua" w:eastAsia="Calibri" w:hAnsi="Perpetua"/>
          <w:sz w:val="26"/>
          <w:szCs w:val="26"/>
        </w:rPr>
      </w:pPr>
      <w:r w:rsidRPr="00586A0F">
        <w:rPr>
          <w:rFonts w:ascii="Perpetua" w:eastAsia="Calibri" w:hAnsi="Perpetua"/>
          <w:sz w:val="26"/>
          <w:szCs w:val="26"/>
        </w:rPr>
        <w:t>Accordingly, meetings with the Deposit Insurance Agency of Bosnia - Hercegovina, State Agency for Deposit Insurance and Bank Resolution of Croatia and Deposit Insurance Fund of Kosovo were held.</w:t>
      </w:r>
    </w:p>
    <w:p w14:paraId="09C252DE" w14:textId="77777777" w:rsidR="000E67C8" w:rsidRPr="00586A0F" w:rsidRDefault="000E67C8" w:rsidP="000E67C8">
      <w:pPr>
        <w:spacing w:before="240" w:after="0" w:line="276" w:lineRule="auto"/>
        <w:jc w:val="both"/>
        <w:rPr>
          <w:rFonts w:ascii="Perpetua" w:eastAsia="Calibri" w:hAnsi="Perpetua"/>
          <w:sz w:val="26"/>
          <w:szCs w:val="26"/>
        </w:rPr>
      </w:pPr>
      <w:r w:rsidRPr="00586A0F">
        <w:rPr>
          <w:rFonts w:ascii="Perpetua" w:eastAsia="Calibri" w:hAnsi="Perpetua"/>
          <w:sz w:val="26"/>
          <w:szCs w:val="26"/>
        </w:rPr>
        <w:lastRenderedPageBreak/>
        <w:t>The collaboration with colleagues from Bosnia - Hercegovina and Croatia focused on the pay-out events in which these two authorities had been engaged in the past. The meetings aimed at highlighting problematic issues that were encountered during the pay-out process, from the notification from the Supervisory Authority, informing depositors and communication with them, until the final pay-out of depositors insured by the scheme. Furthermore, in the meetings held with colleagues from Croatia, discussions also focused on other topics of mutual interest, such as the management of deposit insurance funds and methods for the its efficient optimisation, compensation procedures and measures taken for the accurate and timely communication with depositors in an insurance event.</w:t>
      </w:r>
    </w:p>
    <w:p w14:paraId="7EF1D5AD" w14:textId="77777777" w:rsidR="000E67C8" w:rsidRPr="00586A0F" w:rsidRDefault="000E67C8" w:rsidP="000E67C8">
      <w:pPr>
        <w:spacing w:after="0" w:line="276" w:lineRule="auto"/>
        <w:jc w:val="both"/>
        <w:rPr>
          <w:rFonts w:eastAsia="Calibri"/>
        </w:rPr>
      </w:pPr>
    </w:p>
    <w:p w14:paraId="1E9F558C" w14:textId="77777777" w:rsidR="000E67C8" w:rsidRPr="00586A0F" w:rsidRDefault="000E67C8" w:rsidP="000E67C8">
      <w:pPr>
        <w:spacing w:after="0" w:line="276" w:lineRule="auto"/>
        <w:jc w:val="both"/>
        <w:rPr>
          <w:rFonts w:ascii="Perpetua" w:eastAsia="Calibri" w:hAnsi="Perpetua"/>
          <w:sz w:val="26"/>
          <w:szCs w:val="26"/>
        </w:rPr>
      </w:pPr>
      <w:r w:rsidRPr="00586A0F">
        <w:rPr>
          <w:rFonts w:ascii="Perpetua" w:eastAsia="Calibri" w:hAnsi="Perpetua"/>
          <w:sz w:val="26"/>
          <w:szCs w:val="26"/>
        </w:rPr>
        <w:t xml:space="preserve">In addition, considering the importance of preparation and cooperation in an insurance event, ADIA and the Deposit Insurance Fund of Kosovo evaluated the possibility of coordinating its actions and in this context organising mutual simulation exercises. </w:t>
      </w:r>
    </w:p>
    <w:p w14:paraId="61A18D89" w14:textId="77777777" w:rsidR="000E67C8" w:rsidRPr="00586A0F" w:rsidRDefault="000E67C8" w:rsidP="000E67C8">
      <w:pPr>
        <w:spacing w:after="0" w:line="276" w:lineRule="auto"/>
        <w:jc w:val="both"/>
        <w:rPr>
          <w:rFonts w:eastAsia="Calibri"/>
        </w:rPr>
      </w:pPr>
    </w:p>
    <w:p w14:paraId="0DBFAB05" w14:textId="77777777" w:rsidR="000E67C8" w:rsidRPr="00586A0F" w:rsidRDefault="000E67C8" w:rsidP="000E67C8">
      <w:pPr>
        <w:keepNext/>
        <w:numPr>
          <w:ilvl w:val="2"/>
          <w:numId w:val="7"/>
        </w:numPr>
        <w:spacing w:before="40" w:after="0"/>
        <w:outlineLvl w:val="2"/>
        <w:rPr>
          <w:rFonts w:ascii="Perpetua" w:eastAsia="Times New Roman" w:hAnsi="Perpetua"/>
          <w:color w:val="FF0000"/>
          <w:sz w:val="26"/>
          <w:szCs w:val="26"/>
        </w:rPr>
      </w:pPr>
      <w:bookmarkStart w:id="51" w:name="_Toc442780625"/>
      <w:bookmarkStart w:id="52" w:name="_Toc487804069"/>
      <w:bookmarkEnd w:id="51"/>
      <w:r w:rsidRPr="00586A0F">
        <w:rPr>
          <w:rFonts w:ascii="Perpetua" w:eastAsia="Times New Roman" w:hAnsi="Perpetua"/>
          <w:color w:val="FF0000"/>
          <w:sz w:val="26"/>
          <w:szCs w:val="26"/>
        </w:rPr>
        <w:t>Extending Cooperation with Homologous Deposit Insurers</w:t>
      </w:r>
      <w:bookmarkEnd w:id="52"/>
    </w:p>
    <w:p w14:paraId="0D10A806" w14:textId="77777777" w:rsidR="000E67C8" w:rsidRPr="00586A0F" w:rsidRDefault="000E67C8" w:rsidP="000E67C8">
      <w:pPr>
        <w:spacing w:before="240" w:after="0" w:line="276" w:lineRule="auto"/>
        <w:jc w:val="both"/>
        <w:rPr>
          <w:rFonts w:ascii="Perpetua" w:eastAsia="Calibri" w:hAnsi="Perpetua"/>
          <w:sz w:val="26"/>
          <w:szCs w:val="26"/>
        </w:rPr>
      </w:pPr>
      <w:r w:rsidRPr="00586A0F">
        <w:rPr>
          <w:rFonts w:ascii="Perpetua" w:eastAsia="Calibri" w:hAnsi="Perpetua"/>
          <w:sz w:val="26"/>
          <w:szCs w:val="26"/>
        </w:rPr>
        <w:t>In the framework of its policies for enhancing cooperation with national and international institutions, the Agency has a vital interest in consolidating its ties through different communication protocols, with the aim of exchanging experiences, strengthening capacities and improving the deposit insurance scheme in line with best international standards. This is furthered by the recommendations of the FSAP mission of the World Bank and IMF, which evaluate cooperation agreements with homologous deposit insurance schemes as a priority for the Agency.</w:t>
      </w:r>
    </w:p>
    <w:p w14:paraId="530AB36A" w14:textId="77777777" w:rsidR="000E67C8" w:rsidRPr="00586A0F" w:rsidRDefault="000E67C8" w:rsidP="000E67C8">
      <w:pPr>
        <w:spacing w:before="240" w:after="0" w:line="276" w:lineRule="auto"/>
        <w:jc w:val="both"/>
        <w:rPr>
          <w:rFonts w:ascii="Perpetua" w:eastAsia="Calibri" w:hAnsi="Perpetua"/>
          <w:sz w:val="26"/>
          <w:szCs w:val="26"/>
        </w:rPr>
      </w:pPr>
      <w:r w:rsidRPr="00586A0F">
        <w:rPr>
          <w:rFonts w:ascii="Perpetua" w:eastAsia="Calibri" w:hAnsi="Perpetua"/>
          <w:sz w:val="26"/>
          <w:szCs w:val="26"/>
        </w:rPr>
        <w:t>Accordingly, in December 2015, ADIA, the Deposit Insurance Fund of Kosovo and the Swiss Deposit Insurance Fund (esisuisse) signed a Tripartite Cooperation Agreement.</w:t>
      </w:r>
    </w:p>
    <w:p w14:paraId="5C91BD0D" w14:textId="77777777" w:rsidR="000E67C8" w:rsidRDefault="000E67C8" w:rsidP="000E67C8">
      <w:pPr>
        <w:spacing w:before="240" w:after="0" w:line="276" w:lineRule="auto"/>
        <w:jc w:val="both"/>
        <w:rPr>
          <w:rFonts w:ascii="Perpetua" w:eastAsia="Calibri" w:hAnsi="Perpetua"/>
          <w:sz w:val="26"/>
          <w:szCs w:val="26"/>
        </w:rPr>
      </w:pPr>
      <w:r w:rsidRPr="00586A0F">
        <w:rPr>
          <w:rFonts w:ascii="Perpetua" w:eastAsia="Calibri" w:hAnsi="Perpetua"/>
          <w:sz w:val="26"/>
          <w:szCs w:val="26"/>
        </w:rPr>
        <w:t>The Agreement was reached taking into consideration that depositors which operate in the jurisdictions of all three authorities may conduct reciprocal financial transactions among the banking systems involved. In this context, the Agreement envisages the exchange of information among these authorities, focusing on actual developments in their respective deposit insurance schemes, legislative and regulatory changes, data on the maximum coverage level, insurance premiums, public awareness and education policies, information on the regulation of the banking and non-banking sectors, etc. This Agreement is the first Tripartite Agreement signed in the framework of the International Association of Deposit Insurers (IADI).</w:t>
      </w:r>
    </w:p>
    <w:p w14:paraId="5E0E89DE" w14:textId="77777777" w:rsidR="000E67C8" w:rsidRDefault="000E67C8" w:rsidP="000E67C8">
      <w:pPr>
        <w:spacing w:before="240" w:after="0" w:line="276" w:lineRule="auto"/>
        <w:jc w:val="both"/>
        <w:rPr>
          <w:rFonts w:ascii="Perpetua" w:eastAsia="Calibri" w:hAnsi="Perpetua"/>
          <w:sz w:val="26"/>
          <w:szCs w:val="26"/>
        </w:rPr>
      </w:pPr>
      <w:r>
        <w:rPr>
          <w:rFonts w:ascii="Perpetua" w:eastAsia="Calibri" w:hAnsi="Perpetua"/>
          <w:noProof/>
          <w:sz w:val="26"/>
          <w:szCs w:val="26"/>
          <w:lang w:eastAsia="en-GB"/>
        </w:rPr>
        <w:lastRenderedPageBreak/>
        <w:drawing>
          <wp:anchor distT="0" distB="0" distL="114300" distR="114300" simplePos="0" relativeHeight="251660288" behindDoc="0" locked="0" layoutInCell="1" allowOverlap="1" wp14:anchorId="5497D67F" wp14:editId="600C9A6E">
            <wp:simplePos x="0" y="0"/>
            <wp:positionH relativeFrom="margin">
              <wp:align>center</wp:align>
            </wp:positionH>
            <wp:positionV relativeFrom="margin">
              <wp:posOffset>1996251</wp:posOffset>
            </wp:positionV>
            <wp:extent cx="4749165" cy="32188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165" cy="3218815"/>
                    </a:xfrm>
                    <a:prstGeom prst="rect">
                      <a:avLst/>
                    </a:prstGeom>
                    <a:noFill/>
                  </pic:spPr>
                </pic:pic>
              </a:graphicData>
            </a:graphic>
          </wp:anchor>
        </w:drawing>
      </w:r>
    </w:p>
    <w:p w14:paraId="6ECBE3EF" w14:textId="77777777" w:rsidR="000E67C8" w:rsidRDefault="000E67C8" w:rsidP="000E67C8">
      <w:pPr>
        <w:spacing w:before="240" w:after="0" w:line="276" w:lineRule="auto"/>
        <w:jc w:val="both"/>
        <w:rPr>
          <w:rFonts w:ascii="Perpetua" w:eastAsia="Calibri" w:hAnsi="Perpetua"/>
          <w:sz w:val="26"/>
          <w:szCs w:val="26"/>
        </w:rPr>
      </w:pPr>
    </w:p>
    <w:p w14:paraId="1EF4434F" w14:textId="77777777" w:rsidR="000E67C8" w:rsidRPr="00586A0F" w:rsidRDefault="000E67C8" w:rsidP="000E67C8">
      <w:pPr>
        <w:spacing w:before="240" w:after="0" w:line="276" w:lineRule="auto"/>
        <w:jc w:val="both"/>
        <w:rPr>
          <w:rFonts w:eastAsia="Calibri"/>
        </w:rPr>
      </w:pPr>
    </w:p>
    <w:p w14:paraId="1BC6EE5D" w14:textId="77777777" w:rsidR="000F7CA2" w:rsidRPr="000E67C8" w:rsidRDefault="000F7CA2" w:rsidP="000F7CA2">
      <w:pPr>
        <w:rPr>
          <w:rFonts w:ascii="Perpetua" w:hAnsi="Perpetua"/>
        </w:rPr>
      </w:pPr>
    </w:p>
    <w:p w14:paraId="39B33642" w14:textId="77777777" w:rsidR="000E67C8" w:rsidRDefault="000E67C8">
      <w:pPr>
        <w:rPr>
          <w:rFonts w:ascii="Perpetua" w:hAnsi="Perpetua"/>
        </w:rPr>
        <w:sectPr w:rsidR="000E67C8">
          <w:pgSz w:w="11906" w:h="16838"/>
          <w:pgMar w:top="1440" w:right="1440" w:bottom="1440" w:left="1440" w:header="708" w:footer="708" w:gutter="0"/>
          <w:cols w:space="708"/>
          <w:docGrid w:linePitch="360"/>
        </w:sectPr>
      </w:pPr>
    </w:p>
    <w:p w14:paraId="2B355EF7" w14:textId="77777777" w:rsidR="00647478" w:rsidRPr="00EF296C" w:rsidRDefault="00647478" w:rsidP="00647478">
      <w:pPr>
        <w:pStyle w:val="Heading1"/>
        <w:spacing w:before="0" w:line="240" w:lineRule="auto"/>
        <w:rPr>
          <w:rFonts w:ascii="Perpetua" w:hAnsi="Perpetua"/>
          <w:b/>
          <w:color w:val="auto"/>
        </w:rPr>
      </w:pPr>
      <w:bookmarkStart w:id="53" w:name="_Toc487804070"/>
      <w:r w:rsidRPr="00EF296C">
        <w:rPr>
          <w:rFonts w:ascii="Perpetua" w:hAnsi="Perpetua"/>
          <w:b/>
          <w:color w:val="auto"/>
          <w:sz w:val="30"/>
          <w:szCs w:val="30"/>
        </w:rPr>
        <w:lastRenderedPageBreak/>
        <w:t>Section 3</w:t>
      </w:r>
      <w:r w:rsidRPr="00EF296C">
        <w:rPr>
          <w:rFonts w:ascii="Perpetua" w:hAnsi="Perpetua"/>
          <w:color w:val="auto"/>
        </w:rPr>
        <w:t xml:space="preserve"> – </w:t>
      </w:r>
      <w:r w:rsidRPr="00EF296C">
        <w:rPr>
          <w:rFonts w:ascii="Perpetua" w:hAnsi="Perpetua"/>
          <w:b/>
          <w:color w:val="auto"/>
          <w:sz w:val="30"/>
          <w:szCs w:val="30"/>
          <w:u w:val="thick" w:color="FF0000"/>
        </w:rPr>
        <w:t>Banking sector performance and progress of deposits</w:t>
      </w:r>
      <w:bookmarkEnd w:id="53"/>
    </w:p>
    <w:p w14:paraId="3988ED2B" w14:textId="77777777" w:rsidR="00647478" w:rsidRPr="00EF296C" w:rsidRDefault="00647478" w:rsidP="00647478">
      <w:pPr>
        <w:pStyle w:val="Heading1"/>
        <w:spacing w:before="0" w:line="240" w:lineRule="auto"/>
        <w:rPr>
          <w:rFonts w:ascii="Perpetua" w:hAnsi="Perpetua"/>
          <w:b/>
          <w:color w:val="auto"/>
        </w:rPr>
      </w:pPr>
    </w:p>
    <w:p w14:paraId="54FF5061" w14:textId="77777777" w:rsidR="00647478" w:rsidRPr="00EF296C" w:rsidRDefault="00647478" w:rsidP="00647478">
      <w:pPr>
        <w:pStyle w:val="Heading2"/>
        <w:rPr>
          <w:rFonts w:ascii="Perpetua" w:hAnsi="Perpetua"/>
          <w:b/>
          <w:color w:val="FF0000"/>
          <w:sz w:val="28"/>
        </w:rPr>
      </w:pPr>
      <w:bookmarkStart w:id="54" w:name="_Toc487804071"/>
      <w:r w:rsidRPr="00EF296C">
        <w:rPr>
          <w:rFonts w:ascii="Perpetua" w:hAnsi="Perpetua"/>
          <w:b/>
          <w:color w:val="FF0000"/>
          <w:sz w:val="28"/>
        </w:rPr>
        <w:t>3.1.</w:t>
      </w:r>
      <w:r w:rsidRPr="00EF296C">
        <w:rPr>
          <w:rFonts w:ascii="Perpetua" w:hAnsi="Perpetua"/>
          <w:b/>
          <w:color w:val="FF0000"/>
          <w:sz w:val="28"/>
        </w:rPr>
        <w:tab/>
        <w:t>Banking system, main indicators</w:t>
      </w:r>
      <w:bookmarkEnd w:id="54"/>
    </w:p>
    <w:p w14:paraId="61BB7732" w14:textId="77777777" w:rsidR="00647478" w:rsidRPr="00EF296C" w:rsidRDefault="00647478" w:rsidP="00647478">
      <w:pPr>
        <w:spacing w:after="0" w:line="240" w:lineRule="auto"/>
        <w:jc w:val="both"/>
        <w:rPr>
          <w:rFonts w:ascii="Perpetua" w:hAnsi="Perpetua"/>
          <w:sz w:val="26"/>
          <w:szCs w:val="26"/>
        </w:rPr>
      </w:pPr>
    </w:p>
    <w:p w14:paraId="6FD8B0D2" w14:textId="77777777" w:rsidR="00647478" w:rsidRPr="00EF296C" w:rsidRDefault="00647478" w:rsidP="00647478">
      <w:pPr>
        <w:spacing w:before="240" w:after="0" w:line="276" w:lineRule="auto"/>
        <w:jc w:val="both"/>
        <w:rPr>
          <w:rFonts w:ascii="Perpetua" w:hAnsi="Perpetua"/>
          <w:sz w:val="26"/>
          <w:szCs w:val="26"/>
        </w:rPr>
      </w:pPr>
      <w:r w:rsidRPr="00EF296C">
        <w:rPr>
          <w:rFonts w:ascii="Perpetua" w:hAnsi="Perpetua"/>
          <w:sz w:val="26"/>
          <w:szCs w:val="26"/>
        </w:rPr>
        <w:t xml:space="preserve">Banking sector in Albania is characterized by a stable structure and development. Assets are funded by almost only retail deposits and the capital support is strong. Assets and capital levels exhibit a growing trend. In 2015 the total number of deposits in the banking system increased by 2.2% in comparison with the preceding year. </w:t>
      </w:r>
    </w:p>
    <w:p w14:paraId="67046B90" w14:textId="77777777" w:rsidR="00647478" w:rsidRPr="00EF296C" w:rsidRDefault="00647478" w:rsidP="00647478">
      <w:pPr>
        <w:spacing w:before="240" w:after="0" w:line="276" w:lineRule="auto"/>
        <w:jc w:val="both"/>
        <w:rPr>
          <w:rFonts w:ascii="Perpetua" w:hAnsi="Perpetua"/>
          <w:sz w:val="26"/>
          <w:szCs w:val="26"/>
        </w:rPr>
      </w:pPr>
      <w:r w:rsidRPr="00EF296C">
        <w:rPr>
          <w:rFonts w:ascii="Perpetua" w:hAnsi="Perpetua"/>
          <w:sz w:val="26"/>
          <w:szCs w:val="26"/>
        </w:rPr>
        <w:t>Capital adequacy levels are at 15.7% compared to the minimum required of 12%. The liquidity indicator remained high at a level of 41.4%.</w:t>
      </w:r>
    </w:p>
    <w:p w14:paraId="2F9F5625" w14:textId="77777777" w:rsidR="00647478" w:rsidRPr="00EF296C" w:rsidRDefault="00647478" w:rsidP="00647478">
      <w:pPr>
        <w:spacing w:before="240" w:after="0" w:line="276" w:lineRule="auto"/>
        <w:jc w:val="both"/>
        <w:rPr>
          <w:rFonts w:ascii="Perpetua" w:hAnsi="Perpetua"/>
          <w:sz w:val="26"/>
          <w:szCs w:val="26"/>
        </w:rPr>
      </w:pPr>
      <w:r w:rsidRPr="00EF296C">
        <w:rPr>
          <w:rFonts w:ascii="Perpetua" w:hAnsi="Perpetua"/>
          <w:sz w:val="26"/>
          <w:szCs w:val="26"/>
        </w:rPr>
        <w:t>Non-performing loans ratio has declined to 18.2% by end 2015, in comparison with 22.8% by end 2014.</w:t>
      </w:r>
    </w:p>
    <w:p w14:paraId="0EB89353" w14:textId="77777777" w:rsidR="00647478" w:rsidRPr="00EF296C" w:rsidRDefault="00647478" w:rsidP="00647478">
      <w:pPr>
        <w:spacing w:before="240" w:line="276" w:lineRule="auto"/>
        <w:jc w:val="right"/>
        <w:rPr>
          <w:rFonts w:ascii="Perpetua" w:hAnsi="Perpetua"/>
          <w:i/>
          <w:color w:val="FF0000"/>
          <w:szCs w:val="26"/>
        </w:rPr>
      </w:pPr>
      <w:r w:rsidRPr="00EF296C">
        <w:rPr>
          <w:rFonts w:ascii="Perpetua" w:hAnsi="Perpetua"/>
          <w:i/>
          <w:color w:val="FF0000"/>
          <w:szCs w:val="26"/>
        </w:rPr>
        <w:t>Graph 1. Balance and capital adequacy structure</w:t>
      </w:r>
    </w:p>
    <w:p w14:paraId="59F88E60" w14:textId="77777777" w:rsidR="00647478" w:rsidRPr="00EF296C" w:rsidRDefault="00647478" w:rsidP="00647478">
      <w:pPr>
        <w:spacing w:after="0" w:line="276" w:lineRule="auto"/>
        <w:jc w:val="both"/>
        <w:rPr>
          <w:rFonts w:ascii="Perpetua" w:hAnsi="Perpetua"/>
          <w:sz w:val="26"/>
          <w:szCs w:val="26"/>
        </w:rPr>
      </w:pPr>
      <w:r>
        <w:rPr>
          <w:noProof/>
          <w:lang w:eastAsia="en-GB"/>
        </w:rPr>
        <w:drawing>
          <wp:inline distT="0" distB="0" distL="0" distR="0" wp14:anchorId="5E8D5510" wp14:editId="6F051E40">
            <wp:extent cx="5731510" cy="2674620"/>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7ACDB2" w14:textId="77777777" w:rsidR="00647478" w:rsidRPr="00EF296C" w:rsidRDefault="00647478" w:rsidP="00647478">
      <w:pPr>
        <w:spacing w:line="240" w:lineRule="auto"/>
        <w:jc w:val="both"/>
        <w:rPr>
          <w:rFonts w:ascii="Perpetua" w:hAnsi="Perpetua"/>
          <w:sz w:val="26"/>
          <w:szCs w:val="26"/>
          <w:vertAlign w:val="superscript"/>
        </w:rPr>
      </w:pPr>
    </w:p>
    <w:p w14:paraId="1531F0D2" w14:textId="77777777" w:rsidR="00647478" w:rsidRPr="00EF296C" w:rsidRDefault="00647478" w:rsidP="00647478">
      <w:pPr>
        <w:spacing w:after="0"/>
        <w:jc w:val="both"/>
        <w:rPr>
          <w:rFonts w:ascii="Perpetua" w:hAnsi="Perpetua"/>
          <w:sz w:val="26"/>
          <w:szCs w:val="26"/>
        </w:rPr>
        <w:sectPr w:rsidR="00647478" w:rsidRPr="00EF296C">
          <w:pgSz w:w="11906" w:h="16838"/>
          <w:pgMar w:top="1440" w:right="1440" w:bottom="1440" w:left="1440" w:header="720" w:footer="720" w:gutter="0"/>
          <w:cols w:space="720"/>
          <w:docGrid w:linePitch="360"/>
        </w:sectPr>
      </w:pPr>
    </w:p>
    <w:p w14:paraId="37F062E2" w14:textId="77777777" w:rsidR="00647478" w:rsidRPr="00EF296C" w:rsidRDefault="00647478" w:rsidP="00647478">
      <w:pPr>
        <w:spacing w:after="0"/>
        <w:jc w:val="both"/>
        <w:rPr>
          <w:rFonts w:ascii="Perpetua" w:hAnsi="Perpetua"/>
          <w:sz w:val="26"/>
          <w:szCs w:val="26"/>
        </w:rPr>
      </w:pPr>
    </w:p>
    <w:p w14:paraId="1C0E5397" w14:textId="77777777" w:rsidR="00647478" w:rsidRPr="00EF296C" w:rsidRDefault="00647478" w:rsidP="00647478">
      <w:pPr>
        <w:spacing w:after="0"/>
        <w:jc w:val="both"/>
        <w:rPr>
          <w:rFonts w:ascii="Perpetua" w:hAnsi="Perpetua"/>
          <w:sz w:val="26"/>
          <w:szCs w:val="26"/>
        </w:rPr>
      </w:pPr>
      <w:r w:rsidRPr="00EF296C">
        <w:rPr>
          <w:rFonts w:ascii="Perpetua" w:hAnsi="Perpetua"/>
          <w:sz w:val="26"/>
          <w:szCs w:val="26"/>
        </w:rPr>
        <w:t>Net profit of the whole sector reaches 15.7 billion ALL by end 2015, in comparison to 11.2 billion ALL by end 2014.</w:t>
      </w:r>
    </w:p>
    <w:p w14:paraId="6CA99960" w14:textId="77777777" w:rsidR="00647478" w:rsidRPr="00EF296C" w:rsidRDefault="00647478" w:rsidP="00647478">
      <w:pPr>
        <w:spacing w:after="0" w:line="276" w:lineRule="auto"/>
        <w:jc w:val="right"/>
        <w:rPr>
          <w:rFonts w:ascii="Perpetua" w:hAnsi="Perpetua"/>
          <w:sz w:val="26"/>
          <w:szCs w:val="26"/>
        </w:rPr>
      </w:pPr>
      <w:r w:rsidRPr="00EF296C">
        <w:rPr>
          <w:rFonts w:ascii="Perpetua" w:hAnsi="Perpetua"/>
          <w:i/>
          <w:color w:val="FF0000"/>
          <w:szCs w:val="26"/>
        </w:rPr>
        <w:t>Gra</w:t>
      </w:r>
      <w:r>
        <w:rPr>
          <w:rFonts w:ascii="Perpetua" w:hAnsi="Perpetua"/>
          <w:i/>
          <w:color w:val="FF0000"/>
          <w:szCs w:val="26"/>
        </w:rPr>
        <w:t>ph</w:t>
      </w:r>
      <w:r w:rsidRPr="00EF296C">
        <w:rPr>
          <w:rFonts w:ascii="Perpetua" w:hAnsi="Perpetua"/>
          <w:i/>
          <w:color w:val="FF0000"/>
          <w:szCs w:val="26"/>
        </w:rPr>
        <w:t xml:space="preserve"> 2. Net profit (million ALL)</w:t>
      </w:r>
    </w:p>
    <w:p w14:paraId="416DE9B1" w14:textId="77777777" w:rsidR="00647478" w:rsidRPr="00EF296C" w:rsidRDefault="00647478" w:rsidP="00647478">
      <w:pPr>
        <w:spacing w:before="240" w:line="276" w:lineRule="auto"/>
        <w:jc w:val="right"/>
        <w:rPr>
          <w:rFonts w:ascii="Perpetua" w:hAnsi="Perpetua"/>
          <w:b/>
          <w:color w:val="FF0000"/>
          <w:sz w:val="28"/>
          <w:szCs w:val="26"/>
        </w:rPr>
      </w:pPr>
      <w:r w:rsidRPr="00EF296C">
        <w:rPr>
          <w:noProof/>
          <w:lang w:eastAsia="en-GB"/>
        </w:rPr>
        <w:drawing>
          <wp:inline distT="0" distB="0" distL="0" distR="0" wp14:anchorId="32667C7B" wp14:editId="20C23EA5">
            <wp:extent cx="5731510" cy="2045335"/>
            <wp:effectExtent l="0" t="0" r="254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AB01D8" w14:textId="77777777" w:rsidR="00647478" w:rsidRPr="00EF296C" w:rsidRDefault="00647478" w:rsidP="00647478">
      <w:pPr>
        <w:spacing w:after="0"/>
        <w:jc w:val="both"/>
        <w:rPr>
          <w:rFonts w:ascii="Perpetua" w:hAnsi="Perpetua"/>
          <w:sz w:val="26"/>
          <w:szCs w:val="26"/>
        </w:rPr>
      </w:pPr>
    </w:p>
    <w:p w14:paraId="2B728D71" w14:textId="77777777" w:rsidR="00647478" w:rsidRPr="00EF296C" w:rsidRDefault="00647478" w:rsidP="00647478">
      <w:pPr>
        <w:spacing w:after="0"/>
        <w:jc w:val="both"/>
        <w:rPr>
          <w:rFonts w:ascii="Perpetua" w:hAnsi="Perpetua"/>
          <w:sz w:val="26"/>
          <w:szCs w:val="26"/>
        </w:rPr>
      </w:pPr>
      <w:r w:rsidRPr="00EF296C">
        <w:rPr>
          <w:rFonts w:ascii="Perpetua" w:hAnsi="Perpetua"/>
          <w:sz w:val="26"/>
          <w:szCs w:val="26"/>
        </w:rPr>
        <w:t>Net profit has always been positive, thus contributing to capital growth. Despite its volatility in the last two years the trend is positive resulting in a ROA of 1.2% and ROE 13.1% in 2015.</w:t>
      </w:r>
    </w:p>
    <w:p w14:paraId="64A8F6F3" w14:textId="77777777" w:rsidR="00647478" w:rsidRPr="00EF296C" w:rsidRDefault="00647478" w:rsidP="00647478">
      <w:pPr>
        <w:spacing w:after="0"/>
        <w:jc w:val="both"/>
        <w:rPr>
          <w:rFonts w:ascii="Perpetua" w:hAnsi="Perpetua"/>
          <w:sz w:val="26"/>
          <w:szCs w:val="26"/>
        </w:rPr>
      </w:pPr>
    </w:p>
    <w:p w14:paraId="4116AC62" w14:textId="77777777" w:rsidR="00647478" w:rsidRPr="00EF296C" w:rsidRDefault="00647478" w:rsidP="00647478">
      <w:pPr>
        <w:spacing w:before="240" w:line="276" w:lineRule="auto"/>
        <w:jc w:val="right"/>
        <w:rPr>
          <w:rFonts w:ascii="Perpetua" w:hAnsi="Perpetua"/>
          <w:b/>
          <w:color w:val="FF0000"/>
          <w:sz w:val="28"/>
          <w:szCs w:val="26"/>
        </w:rPr>
      </w:pPr>
      <w:r>
        <w:rPr>
          <w:rFonts w:ascii="Perpetua" w:hAnsi="Perpetua"/>
          <w:i/>
          <w:color w:val="FF0000"/>
          <w:szCs w:val="26"/>
        </w:rPr>
        <w:t>Graph</w:t>
      </w:r>
      <w:r w:rsidRPr="00EF296C">
        <w:rPr>
          <w:rFonts w:ascii="Perpetua" w:hAnsi="Perpetua"/>
          <w:i/>
          <w:color w:val="FF0000"/>
          <w:szCs w:val="26"/>
        </w:rPr>
        <w:t xml:space="preserve"> 3. ROA and ROE indicators (%)</w:t>
      </w:r>
    </w:p>
    <w:p w14:paraId="1DDFF8DB" w14:textId="77777777" w:rsidR="00647478" w:rsidRPr="00EF296C" w:rsidRDefault="00647478" w:rsidP="00647478">
      <w:pPr>
        <w:spacing w:before="240" w:line="276" w:lineRule="auto"/>
        <w:jc w:val="right"/>
        <w:rPr>
          <w:rFonts w:ascii="Perpetua" w:hAnsi="Perpetua"/>
          <w:b/>
          <w:color w:val="FF0000"/>
          <w:sz w:val="28"/>
          <w:szCs w:val="26"/>
        </w:rPr>
        <w:sectPr w:rsidR="00647478" w:rsidRPr="00EF296C" w:rsidSect="006E7E78">
          <w:pgSz w:w="11906" w:h="16838"/>
          <w:pgMar w:top="851" w:right="1440" w:bottom="1440" w:left="1440" w:header="708" w:footer="708" w:gutter="0"/>
          <w:cols w:space="708"/>
          <w:docGrid w:linePitch="360"/>
        </w:sectPr>
      </w:pPr>
      <w:r w:rsidRPr="00EF296C">
        <w:rPr>
          <w:noProof/>
          <w:lang w:eastAsia="en-GB"/>
        </w:rPr>
        <w:drawing>
          <wp:inline distT="0" distB="0" distL="0" distR="0" wp14:anchorId="56EA101D" wp14:editId="6C791002">
            <wp:extent cx="5731510" cy="2441575"/>
            <wp:effectExtent l="0" t="0" r="25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5AA773" w14:textId="77777777" w:rsidR="00647478" w:rsidRPr="00511ECB" w:rsidRDefault="00647478" w:rsidP="00647478">
      <w:pPr>
        <w:keepNext/>
        <w:keepLines/>
        <w:numPr>
          <w:ilvl w:val="1"/>
          <w:numId w:val="9"/>
        </w:numPr>
        <w:spacing w:before="40" w:after="0" w:line="259" w:lineRule="auto"/>
        <w:outlineLvl w:val="1"/>
        <w:rPr>
          <w:rFonts w:ascii="Perpetua" w:eastAsia="Times New Roman" w:hAnsi="Perpetua"/>
          <w:b/>
          <w:color w:val="FF0000"/>
          <w:sz w:val="28"/>
          <w:szCs w:val="26"/>
        </w:rPr>
      </w:pPr>
      <w:bookmarkStart w:id="55" w:name="_Toc487804072"/>
      <w:r w:rsidRPr="00511ECB">
        <w:rPr>
          <w:rFonts w:ascii="Perpetua" w:eastAsia="Times New Roman" w:hAnsi="Perpetua"/>
          <w:b/>
          <w:color w:val="FF0000"/>
          <w:sz w:val="28"/>
          <w:szCs w:val="26"/>
        </w:rPr>
        <w:lastRenderedPageBreak/>
        <w:t>Deposits in the system</w:t>
      </w:r>
      <w:bookmarkEnd w:id="55"/>
      <w:r w:rsidRPr="00511ECB">
        <w:rPr>
          <w:rFonts w:ascii="Perpetua" w:eastAsia="Times New Roman" w:hAnsi="Perpetua"/>
          <w:b/>
          <w:color w:val="FF0000"/>
          <w:sz w:val="28"/>
          <w:szCs w:val="26"/>
        </w:rPr>
        <w:t xml:space="preserve"> </w:t>
      </w:r>
    </w:p>
    <w:p w14:paraId="14D6C1F8" w14:textId="77777777" w:rsidR="00647478" w:rsidRPr="00511ECB" w:rsidRDefault="00647478" w:rsidP="00647478">
      <w:pPr>
        <w:rPr>
          <w:rFonts w:ascii="Perpetua" w:eastAsia="Calibri" w:hAnsi="Perpetua" w:cs="Calibri"/>
          <w:sz w:val="26"/>
          <w:szCs w:val="26"/>
          <w:highlight w:val="cyan"/>
        </w:rPr>
      </w:pPr>
    </w:p>
    <w:p w14:paraId="0DDBFCBF" w14:textId="77777777" w:rsidR="00647478" w:rsidRPr="00511ECB" w:rsidRDefault="00647478" w:rsidP="00647478">
      <w:pPr>
        <w:jc w:val="both"/>
        <w:rPr>
          <w:rFonts w:ascii="Perpetua" w:eastAsia="Calibri" w:hAnsi="Perpetua" w:cs="Calibri"/>
          <w:sz w:val="26"/>
          <w:szCs w:val="26"/>
        </w:rPr>
      </w:pPr>
      <w:r w:rsidRPr="00511ECB">
        <w:rPr>
          <w:rFonts w:ascii="Perpetua" w:eastAsia="Calibri" w:hAnsi="Perpetua" w:cs="Calibri"/>
          <w:sz w:val="26"/>
          <w:szCs w:val="26"/>
        </w:rPr>
        <w:t xml:space="preserve">During 2015 the total system deposits as well as the individual deposits experienced growing and descending fluctuations with relatively low monthly changing norms. Total of deposits in the Albanian banking system reached 1,061 billion ALL by the end of the year 2015 compared to the 1,038.6 billion ALL in the previous year, indicating an increase of 22.6 billion ALL or 2.2%. The average annual changing rate in deposits for the last seven years was 7.6 %. </w:t>
      </w:r>
    </w:p>
    <w:p w14:paraId="4B7BE0F6" w14:textId="77777777" w:rsidR="00647478" w:rsidRPr="00511ECB" w:rsidRDefault="00647478" w:rsidP="00647478">
      <w:pPr>
        <w:spacing w:line="259" w:lineRule="auto"/>
        <w:jc w:val="both"/>
        <w:rPr>
          <w:rFonts w:ascii="Perpetua" w:eastAsia="Calibri" w:hAnsi="Perpetua" w:cs="Calibri"/>
        </w:rPr>
      </w:pPr>
    </w:p>
    <w:p w14:paraId="6A721255" w14:textId="77777777" w:rsidR="00647478" w:rsidRPr="00511ECB" w:rsidRDefault="00647478" w:rsidP="00647478">
      <w:pPr>
        <w:spacing w:line="259" w:lineRule="auto"/>
        <w:jc w:val="right"/>
        <w:rPr>
          <w:rFonts w:ascii="Perpetua" w:eastAsia="MS Mincho" w:hAnsi="Perpetua" w:cs="Calibri"/>
          <w:i/>
          <w:color w:val="FF0000"/>
        </w:rPr>
      </w:pPr>
      <w:r w:rsidRPr="00511ECB">
        <w:rPr>
          <w:rFonts w:ascii="Perpetua" w:eastAsia="Calibri" w:hAnsi="Perpetua" w:cs="Calibri"/>
          <w:i/>
          <w:color w:val="FF0000"/>
        </w:rPr>
        <w:t>Graph 4.</w:t>
      </w:r>
      <w:r w:rsidRPr="00511ECB">
        <w:rPr>
          <w:rFonts w:ascii="Perpetua" w:eastAsia="MS Mincho" w:hAnsi="Perpetua" w:cs="Calibri"/>
          <w:bCs/>
          <w:i/>
          <w:color w:val="FF0000"/>
        </w:rPr>
        <w:t>Dynamics of the deposits of the banking system 2002-2015</w:t>
      </w:r>
    </w:p>
    <w:p w14:paraId="35364655" w14:textId="77777777" w:rsidR="00647478" w:rsidRDefault="00647478" w:rsidP="00647478">
      <w:pPr>
        <w:spacing w:line="259" w:lineRule="auto"/>
        <w:jc w:val="center"/>
        <w:rPr>
          <w:rFonts w:ascii="Perpetua" w:eastAsia="Calibri" w:hAnsi="Perpetua"/>
          <w:b/>
          <w:color w:val="FF0000"/>
          <w:sz w:val="28"/>
          <w:szCs w:val="26"/>
        </w:rPr>
      </w:pPr>
      <w:r w:rsidRPr="00511ECB">
        <w:rPr>
          <w:noProof/>
          <w:lang w:eastAsia="en-GB"/>
        </w:rPr>
        <w:drawing>
          <wp:inline distT="0" distB="0" distL="0" distR="0" wp14:anchorId="7B681702" wp14:editId="63479259">
            <wp:extent cx="5057029"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350397" w14:textId="77777777" w:rsidR="00647478" w:rsidRPr="00511ECB" w:rsidRDefault="00647478" w:rsidP="00647478">
      <w:pPr>
        <w:spacing w:line="259" w:lineRule="auto"/>
        <w:jc w:val="center"/>
        <w:rPr>
          <w:rFonts w:ascii="Perpetua" w:eastAsia="Calibri" w:hAnsi="Perpetua"/>
          <w:b/>
          <w:color w:val="FF0000"/>
          <w:sz w:val="28"/>
          <w:szCs w:val="26"/>
        </w:rPr>
      </w:pPr>
    </w:p>
    <w:p w14:paraId="52D7BA74" w14:textId="77777777" w:rsidR="00647478" w:rsidRPr="00511ECB" w:rsidRDefault="00647478" w:rsidP="00647478">
      <w:pPr>
        <w:keepNext/>
        <w:keepLines/>
        <w:numPr>
          <w:ilvl w:val="1"/>
          <w:numId w:val="9"/>
        </w:numPr>
        <w:spacing w:before="40" w:after="0" w:line="259" w:lineRule="auto"/>
        <w:outlineLvl w:val="1"/>
        <w:rPr>
          <w:rFonts w:ascii="Perpetua" w:eastAsia="Times New Roman" w:hAnsi="Perpetua"/>
          <w:b/>
          <w:color w:val="FF0000"/>
          <w:sz w:val="28"/>
          <w:szCs w:val="26"/>
        </w:rPr>
      </w:pPr>
      <w:bookmarkStart w:id="56" w:name="_Toc487804073"/>
      <w:r w:rsidRPr="00511ECB">
        <w:rPr>
          <w:rFonts w:ascii="Perpetua" w:eastAsia="Times New Roman" w:hAnsi="Perpetua"/>
          <w:b/>
          <w:color w:val="FF0000"/>
          <w:sz w:val="28"/>
          <w:szCs w:val="26"/>
        </w:rPr>
        <w:t>Individual deposits</w:t>
      </w:r>
      <w:bookmarkEnd w:id="56"/>
    </w:p>
    <w:p w14:paraId="3918E50F" w14:textId="77777777" w:rsidR="00647478" w:rsidRPr="00511ECB" w:rsidRDefault="00647478" w:rsidP="00647478">
      <w:pPr>
        <w:spacing w:before="240"/>
        <w:jc w:val="both"/>
        <w:rPr>
          <w:rFonts w:ascii="Perpetua" w:eastAsia="Calibri" w:hAnsi="Perpetua" w:cs="Calibri"/>
          <w:sz w:val="26"/>
          <w:szCs w:val="26"/>
        </w:rPr>
      </w:pPr>
      <w:r w:rsidRPr="00511ECB">
        <w:rPr>
          <w:rFonts w:ascii="Perpetua" w:eastAsia="Calibri" w:hAnsi="Perpetua" w:cs="Calibri"/>
          <w:sz w:val="26"/>
          <w:szCs w:val="26"/>
        </w:rPr>
        <w:t xml:space="preserve">The individual deposits that benefit from the deposit insurance scheme reached 889 billion </w:t>
      </w:r>
      <w:r>
        <w:rPr>
          <w:rFonts w:ascii="Perpetua" w:eastAsia="Calibri" w:hAnsi="Perpetua" w:cs="Calibri"/>
          <w:sz w:val="26"/>
          <w:szCs w:val="26"/>
        </w:rPr>
        <w:t>ALL</w:t>
      </w:r>
      <w:r w:rsidRPr="00511ECB">
        <w:rPr>
          <w:rFonts w:ascii="Perpetua" w:eastAsia="Calibri" w:hAnsi="Perpetua" w:cs="Calibri"/>
          <w:sz w:val="26"/>
          <w:szCs w:val="26"/>
        </w:rPr>
        <w:t xml:space="preserve"> at the end of 2015 compared to 869.5 billion </w:t>
      </w:r>
      <w:r>
        <w:rPr>
          <w:rFonts w:ascii="Perpetua" w:eastAsia="Calibri" w:hAnsi="Perpetua" w:cs="Calibri"/>
          <w:sz w:val="26"/>
          <w:szCs w:val="26"/>
        </w:rPr>
        <w:t>ALL</w:t>
      </w:r>
      <w:r w:rsidRPr="00511ECB">
        <w:rPr>
          <w:rFonts w:ascii="Perpetua" w:eastAsia="Calibri" w:hAnsi="Perpetua" w:cs="Calibri"/>
          <w:sz w:val="26"/>
          <w:szCs w:val="26"/>
        </w:rPr>
        <w:t xml:space="preserve"> in the previous year, indicating an increase of 20 billion </w:t>
      </w:r>
      <w:r>
        <w:rPr>
          <w:rFonts w:ascii="Perpetua" w:eastAsia="Calibri" w:hAnsi="Perpetua" w:cs="Calibri"/>
          <w:sz w:val="26"/>
          <w:szCs w:val="26"/>
        </w:rPr>
        <w:t>ALL</w:t>
      </w:r>
      <w:r w:rsidRPr="00511ECB">
        <w:rPr>
          <w:rFonts w:ascii="Perpetua" w:eastAsia="Calibri" w:hAnsi="Perpetua" w:cs="Calibri"/>
          <w:sz w:val="26"/>
          <w:szCs w:val="26"/>
        </w:rPr>
        <w:t xml:space="preserve"> or 2.3%. These deposits represent 83.8 % of the total deposits. The number of individual depositors who benefit from the scheme at the end of the year 2015 is 2,117,389 and in comparison to the previous year has experienced a growth 3.2 % or 65, 499 depositors</w:t>
      </w:r>
      <w:r w:rsidRPr="00511ECB">
        <w:rPr>
          <w:rFonts w:eastAsia="Times New Roman"/>
        </w:rPr>
        <w:t>.</w:t>
      </w:r>
    </w:p>
    <w:p w14:paraId="0B184007" w14:textId="77777777" w:rsidR="00647478" w:rsidRPr="00511ECB" w:rsidRDefault="00647478" w:rsidP="00647478">
      <w:pPr>
        <w:spacing w:before="240" w:after="0" w:line="259" w:lineRule="auto"/>
        <w:jc w:val="right"/>
        <w:rPr>
          <w:rFonts w:ascii="Perpetua" w:eastAsia="MS Mincho" w:hAnsi="Perpetua" w:cs="Calibri"/>
          <w:bCs/>
          <w:i/>
          <w:color w:val="FF0000"/>
        </w:rPr>
      </w:pPr>
      <w:r w:rsidRPr="00511ECB">
        <w:rPr>
          <w:rFonts w:ascii="Perpetua" w:eastAsia="Calibri" w:hAnsi="Perpetua" w:cs="Calibri"/>
          <w:i/>
          <w:color w:val="FF0000"/>
        </w:rPr>
        <w:t xml:space="preserve">Graph  5. Dynamics of the deposits structured according to the benefit from the the deposit insurance scheme </w:t>
      </w:r>
    </w:p>
    <w:p w14:paraId="3C5CFC46" w14:textId="77777777" w:rsidR="00647478" w:rsidRPr="00511ECB" w:rsidRDefault="00647478" w:rsidP="00647478">
      <w:pPr>
        <w:spacing w:line="259" w:lineRule="auto"/>
        <w:jc w:val="right"/>
        <w:rPr>
          <w:rFonts w:ascii="Perpetua" w:eastAsia="MS Mincho" w:hAnsi="Perpetua" w:cs="Calibri"/>
          <w:bCs/>
          <w:i/>
          <w:color w:val="FF0000"/>
        </w:rPr>
      </w:pPr>
      <w:r w:rsidRPr="00511ECB">
        <w:rPr>
          <w:rFonts w:ascii="Perpetua" w:eastAsia="MS Mincho" w:hAnsi="Perpetua" w:cs="Calibri"/>
          <w:bCs/>
          <w:i/>
          <w:color w:val="FF0000"/>
        </w:rPr>
        <w:t>( in  % of total deposits)</w:t>
      </w:r>
    </w:p>
    <w:p w14:paraId="5646D7F4" w14:textId="77777777" w:rsidR="00647478" w:rsidRPr="00511ECB" w:rsidRDefault="00647478" w:rsidP="00647478">
      <w:pPr>
        <w:spacing w:line="259" w:lineRule="auto"/>
        <w:rPr>
          <w:rFonts w:ascii="Perpetua" w:eastAsia="MS Mincho" w:hAnsi="Perpetua" w:cs="Calibri"/>
          <w:bCs/>
          <w:i/>
          <w:color w:val="FF0000"/>
        </w:rPr>
      </w:pPr>
      <w:r w:rsidRPr="00511ECB">
        <w:rPr>
          <w:rFonts w:ascii="Perpetua" w:hAnsi="Perpetua"/>
          <w:noProof/>
          <w:lang w:eastAsia="en-GB"/>
        </w:rPr>
        <w:lastRenderedPageBreak/>
        <w:drawing>
          <wp:inline distT="0" distB="0" distL="0" distR="0" wp14:anchorId="4BC64C74" wp14:editId="116FDC1B">
            <wp:extent cx="5731510" cy="2062976"/>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D79343" w14:textId="77777777" w:rsidR="00647478" w:rsidRPr="00511ECB" w:rsidRDefault="00647478" w:rsidP="00647478">
      <w:pPr>
        <w:spacing w:line="259" w:lineRule="auto"/>
        <w:jc w:val="right"/>
        <w:rPr>
          <w:rFonts w:ascii="Perpetua" w:eastAsia="MS Mincho" w:hAnsi="Perpetua" w:cs="Calibri"/>
          <w:bCs/>
          <w:i/>
          <w:color w:val="FF0000"/>
        </w:rPr>
      </w:pPr>
    </w:p>
    <w:p w14:paraId="4739798F" w14:textId="77777777" w:rsidR="00647478" w:rsidRPr="00511ECB" w:rsidRDefault="00647478" w:rsidP="00647478">
      <w:pPr>
        <w:spacing w:line="259" w:lineRule="auto"/>
        <w:jc w:val="right"/>
        <w:rPr>
          <w:rFonts w:ascii="Perpetua" w:eastAsia="MS Mincho" w:hAnsi="Perpetua" w:cs="Calibri"/>
          <w:bCs/>
          <w:i/>
          <w:color w:val="FF0000"/>
        </w:rPr>
      </w:pPr>
    </w:p>
    <w:p w14:paraId="02F9457C" w14:textId="77777777" w:rsidR="00647478" w:rsidRPr="00511ECB" w:rsidRDefault="00647478" w:rsidP="00647478">
      <w:pPr>
        <w:spacing w:line="259" w:lineRule="auto"/>
        <w:jc w:val="right"/>
        <w:rPr>
          <w:rFonts w:ascii="Perpetua" w:eastAsia="MS Mincho" w:hAnsi="Perpetua" w:cs="Calibri"/>
          <w:i/>
          <w:color w:val="FF0000"/>
        </w:rPr>
      </w:pPr>
    </w:p>
    <w:p w14:paraId="2FEB540E" w14:textId="77777777" w:rsidR="00647478" w:rsidRPr="00511ECB" w:rsidRDefault="00647478" w:rsidP="00647478">
      <w:pPr>
        <w:spacing w:line="259" w:lineRule="auto"/>
        <w:jc w:val="both"/>
        <w:rPr>
          <w:rFonts w:ascii="Perpetua" w:eastAsia="Calibri" w:hAnsi="Perpetua" w:cs="Calibri"/>
        </w:rPr>
      </w:pPr>
      <w:commentRangeStart w:id="57"/>
      <w:r w:rsidRPr="00511ECB">
        <w:rPr>
          <w:rFonts w:eastAsia="Calibri"/>
          <w:noProof/>
          <w:lang w:eastAsia="en-GB"/>
        </w:rPr>
        <w:drawing>
          <wp:inline distT="0" distB="0" distL="0" distR="0" wp14:anchorId="0B5BA2BF" wp14:editId="557F2FEF">
            <wp:extent cx="5838940" cy="297455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commentRangeEnd w:id="57"/>
      <w:r>
        <w:rPr>
          <w:rStyle w:val="CommentReference"/>
        </w:rPr>
        <w:commentReference w:id="57"/>
      </w:r>
    </w:p>
    <w:p w14:paraId="720464CB" w14:textId="77777777" w:rsidR="00647478" w:rsidRPr="00511ECB" w:rsidRDefault="00647478" w:rsidP="00647478">
      <w:pPr>
        <w:spacing w:line="259" w:lineRule="auto"/>
        <w:jc w:val="right"/>
        <w:rPr>
          <w:rFonts w:ascii="Perpetua" w:eastAsia="MS Mincho" w:hAnsi="Perpetua" w:cs="Calibri"/>
          <w:i/>
          <w:color w:val="FF0000"/>
        </w:rPr>
      </w:pPr>
      <w:r>
        <w:rPr>
          <w:rFonts w:ascii="Perpetua" w:eastAsia="Calibri" w:hAnsi="Perpetua" w:cs="Calibri"/>
          <w:i/>
          <w:color w:val="FF0000"/>
        </w:rPr>
        <w:t>Graph</w:t>
      </w:r>
      <w:r w:rsidRPr="00511ECB">
        <w:rPr>
          <w:rFonts w:ascii="Perpetua" w:eastAsia="Calibri" w:hAnsi="Perpetua" w:cs="Calibri"/>
          <w:i/>
          <w:color w:val="FF0000"/>
        </w:rPr>
        <w:t xml:space="preserve"> 6. </w:t>
      </w:r>
      <w:r>
        <w:rPr>
          <w:rFonts w:ascii="Perpetua" w:eastAsia="Calibri" w:hAnsi="Perpetua" w:cs="Calibri"/>
          <w:i/>
          <w:color w:val="FF0000"/>
        </w:rPr>
        <w:t>Progress of total of deposits and individuals Dec</w:t>
      </w:r>
      <w:r w:rsidRPr="00511ECB">
        <w:rPr>
          <w:rFonts w:ascii="Perpetua" w:eastAsia="MS Mincho" w:hAnsi="Perpetua" w:cs="Calibri"/>
          <w:bCs/>
          <w:i/>
          <w:color w:val="FF0000"/>
        </w:rPr>
        <w:t>r'14-</w:t>
      </w:r>
      <w:r>
        <w:rPr>
          <w:rFonts w:ascii="Perpetua" w:eastAsia="MS Mincho" w:hAnsi="Perpetua" w:cs="Calibri"/>
          <w:bCs/>
          <w:i/>
          <w:color w:val="FF0000"/>
        </w:rPr>
        <w:t>Dec</w:t>
      </w:r>
      <w:r w:rsidRPr="00511ECB">
        <w:rPr>
          <w:rFonts w:ascii="Perpetua" w:eastAsia="MS Mincho" w:hAnsi="Perpetua" w:cs="Calibri"/>
          <w:bCs/>
          <w:i/>
          <w:color w:val="FF0000"/>
        </w:rPr>
        <w:t xml:space="preserve">'15 </w:t>
      </w:r>
    </w:p>
    <w:p w14:paraId="2D9BAA12" w14:textId="77777777" w:rsidR="00647478" w:rsidRPr="00511ECB" w:rsidRDefault="00647478" w:rsidP="00647478">
      <w:pPr>
        <w:spacing w:line="259" w:lineRule="auto"/>
        <w:jc w:val="both"/>
        <w:rPr>
          <w:rFonts w:ascii="Perpetua" w:eastAsia="Calibri" w:hAnsi="Perpetua" w:cs="Calibri"/>
        </w:rPr>
      </w:pPr>
      <w:r w:rsidRPr="00511ECB">
        <w:rPr>
          <w:rFonts w:eastAsia="Calibri"/>
          <w:noProof/>
          <w:lang w:eastAsia="en-GB"/>
        </w:rPr>
        <w:lastRenderedPageBreak/>
        <w:drawing>
          <wp:inline distT="0" distB="0" distL="0" distR="0" wp14:anchorId="0B5EC6A8" wp14:editId="4DF7E4E9">
            <wp:extent cx="5731510" cy="3340100"/>
            <wp:effectExtent l="0" t="0" r="254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D844CA" w14:textId="77777777" w:rsidR="00647478" w:rsidRPr="00511ECB" w:rsidRDefault="00647478" w:rsidP="00647478">
      <w:pPr>
        <w:spacing w:line="259" w:lineRule="auto"/>
        <w:jc w:val="both"/>
        <w:rPr>
          <w:rFonts w:ascii="Perpetua" w:eastAsia="Calibri" w:hAnsi="Perpetua" w:cs="Calibri"/>
        </w:rPr>
      </w:pPr>
    </w:p>
    <w:p w14:paraId="4ED3C177" w14:textId="77777777" w:rsidR="00647478" w:rsidRPr="00511ECB" w:rsidRDefault="00647478" w:rsidP="00647478">
      <w:pPr>
        <w:rPr>
          <w:rFonts w:ascii="Perpetua" w:eastAsia="Calibri" w:hAnsi="Perpetua" w:cs="Calibri"/>
          <w:sz w:val="26"/>
          <w:szCs w:val="26"/>
        </w:rPr>
      </w:pPr>
      <w:r w:rsidRPr="00511ECB">
        <w:rPr>
          <w:rFonts w:ascii="Perpetua" w:eastAsia="Calibri" w:hAnsi="Perpetua" w:cs="Calibri"/>
          <w:sz w:val="26"/>
          <w:szCs w:val="26"/>
        </w:rPr>
        <w:t xml:space="preserve">The individual deposits denominated in </w:t>
      </w:r>
      <w:r>
        <w:rPr>
          <w:rFonts w:ascii="Perpetua" w:eastAsia="Calibri" w:hAnsi="Perpetua" w:cs="Calibri"/>
          <w:sz w:val="26"/>
          <w:szCs w:val="26"/>
        </w:rPr>
        <w:t>ALL</w:t>
      </w:r>
      <w:r w:rsidRPr="00511ECB">
        <w:rPr>
          <w:rFonts w:ascii="Perpetua" w:eastAsia="Calibri" w:hAnsi="Perpetua" w:cs="Calibri"/>
          <w:sz w:val="26"/>
          <w:szCs w:val="26"/>
        </w:rPr>
        <w:t xml:space="preserve"> held by banks reached 453,3 billion </w:t>
      </w:r>
      <w:r>
        <w:rPr>
          <w:rFonts w:ascii="Perpetua" w:eastAsia="Calibri" w:hAnsi="Perpetua" w:cs="Calibri"/>
          <w:sz w:val="26"/>
          <w:szCs w:val="26"/>
        </w:rPr>
        <w:t>ALL</w:t>
      </w:r>
      <w:r w:rsidRPr="00511ECB">
        <w:rPr>
          <w:rFonts w:ascii="Perpetua" w:eastAsia="Calibri" w:hAnsi="Perpetua" w:cs="Calibri"/>
          <w:sz w:val="26"/>
          <w:szCs w:val="26"/>
        </w:rPr>
        <w:t xml:space="preserve"> at the end of  the year 2015 compared to 451 billion </w:t>
      </w:r>
      <w:r>
        <w:rPr>
          <w:rFonts w:ascii="Perpetua" w:eastAsia="Calibri" w:hAnsi="Perpetua" w:cs="Calibri"/>
          <w:sz w:val="26"/>
          <w:szCs w:val="26"/>
        </w:rPr>
        <w:t>ALL</w:t>
      </w:r>
      <w:r w:rsidRPr="00511ECB">
        <w:rPr>
          <w:rFonts w:ascii="Perpetua" w:eastAsia="Calibri" w:hAnsi="Perpetua" w:cs="Calibri"/>
          <w:sz w:val="26"/>
          <w:szCs w:val="26"/>
        </w:rPr>
        <w:t xml:space="preserve"> by the end of</w:t>
      </w:r>
      <w:r>
        <w:rPr>
          <w:rFonts w:ascii="Perpetua" w:eastAsia="Calibri" w:hAnsi="Perpetua" w:cs="Calibri"/>
          <w:sz w:val="26"/>
          <w:szCs w:val="26"/>
        </w:rPr>
        <w:t xml:space="preserve"> 2014</w:t>
      </w:r>
      <w:r w:rsidRPr="00511ECB">
        <w:rPr>
          <w:rFonts w:ascii="Perpetua" w:eastAsia="Calibri" w:hAnsi="Perpetua" w:cs="Calibri"/>
          <w:sz w:val="26"/>
          <w:szCs w:val="26"/>
        </w:rPr>
        <w:t>, with an increase of 0.5 %. These</w:t>
      </w:r>
      <w:r>
        <w:rPr>
          <w:rFonts w:ascii="Perpetua" w:eastAsia="Calibri" w:hAnsi="Perpetua" w:cs="Calibri"/>
          <w:sz w:val="26"/>
          <w:szCs w:val="26"/>
        </w:rPr>
        <w:t xml:space="preserve"> deposits which represent 51 % </w:t>
      </w:r>
      <w:r w:rsidRPr="00511ECB">
        <w:rPr>
          <w:rFonts w:ascii="Perpetua" w:eastAsia="Calibri" w:hAnsi="Perpetua" w:cs="Calibri"/>
          <w:sz w:val="26"/>
          <w:szCs w:val="26"/>
        </w:rPr>
        <w:t xml:space="preserve">of the individual deposits are due to 2,121,930 deposits with an average deposit value of 214 thousand </w:t>
      </w:r>
      <w:r>
        <w:rPr>
          <w:rFonts w:ascii="Perpetua" w:eastAsia="Calibri" w:hAnsi="Perpetua" w:cs="Calibri"/>
          <w:sz w:val="26"/>
          <w:szCs w:val="26"/>
        </w:rPr>
        <w:t>ALL</w:t>
      </w:r>
      <w:r w:rsidRPr="00511ECB">
        <w:rPr>
          <w:rFonts w:ascii="Perpetua" w:eastAsia="Calibri" w:hAnsi="Perpetua" w:cs="Calibri"/>
          <w:sz w:val="26"/>
          <w:szCs w:val="26"/>
        </w:rPr>
        <w:t xml:space="preserve"> compared to 2,078,043 deposits with an average value of 217 thousand </w:t>
      </w:r>
      <w:r>
        <w:rPr>
          <w:rFonts w:ascii="Perpetua" w:eastAsia="Calibri" w:hAnsi="Perpetua" w:cs="Calibri"/>
          <w:sz w:val="26"/>
          <w:szCs w:val="26"/>
        </w:rPr>
        <w:t>ALL</w:t>
      </w:r>
      <w:r w:rsidRPr="00511ECB">
        <w:rPr>
          <w:rFonts w:ascii="Perpetua" w:eastAsia="Calibri" w:hAnsi="Perpetua" w:cs="Calibri"/>
          <w:sz w:val="26"/>
          <w:szCs w:val="26"/>
        </w:rPr>
        <w:t xml:space="preserve"> a year earlier.</w:t>
      </w:r>
    </w:p>
    <w:p w14:paraId="2CB1C208" w14:textId="77777777" w:rsidR="00647478" w:rsidRPr="00511ECB" w:rsidRDefault="00647478" w:rsidP="00647478">
      <w:pPr>
        <w:rPr>
          <w:rFonts w:ascii="Perpetua" w:eastAsia="Calibri" w:hAnsi="Perpetua" w:cs="Calibri"/>
          <w:sz w:val="26"/>
          <w:szCs w:val="26"/>
        </w:rPr>
      </w:pPr>
      <w:r w:rsidRPr="00511ECB">
        <w:rPr>
          <w:rFonts w:ascii="Perpetua" w:eastAsia="Calibri" w:hAnsi="Perpetua" w:cs="Calibri"/>
          <w:sz w:val="26"/>
          <w:szCs w:val="26"/>
        </w:rPr>
        <w:t>Deposits in currency represent 49% of the individual deposits and the major part of them belongs to the deposits in euro.</w:t>
      </w:r>
    </w:p>
    <w:p w14:paraId="3A6D718B" w14:textId="77777777" w:rsidR="00647478" w:rsidRPr="00511ECB" w:rsidRDefault="003D0262" w:rsidP="003D0262">
      <w:pPr>
        <w:spacing w:before="240" w:line="259" w:lineRule="auto"/>
        <w:jc w:val="right"/>
        <w:rPr>
          <w:rFonts w:ascii="Perpetua" w:eastAsia="MS Mincho" w:hAnsi="Perpetua" w:cs="Calibri"/>
          <w:i/>
          <w:color w:val="FF0000"/>
        </w:rPr>
      </w:pPr>
      <w:r w:rsidRPr="00511ECB">
        <w:rPr>
          <w:rFonts w:ascii="Perpetua" w:eastAsia="Calibri" w:hAnsi="Perpetua" w:cs="Calibri"/>
          <w:i/>
          <w:color w:val="FF0000"/>
        </w:rPr>
        <w:t>Graphic</w:t>
      </w:r>
      <w:r w:rsidR="00647478" w:rsidRPr="00511ECB">
        <w:rPr>
          <w:rFonts w:ascii="Perpetua" w:eastAsia="Calibri" w:hAnsi="Perpetua" w:cs="Calibri"/>
          <w:i/>
          <w:color w:val="FF0000"/>
        </w:rPr>
        <w:t xml:space="preserve"> 7.</w:t>
      </w:r>
      <w:r w:rsidRPr="003D0262">
        <w:t xml:space="preserve"> </w:t>
      </w:r>
      <w:r w:rsidRPr="003D0262">
        <w:rPr>
          <w:rFonts w:ascii="Perpetua" w:eastAsia="MS Mincho" w:hAnsi="Perpetua" w:cs="Calibri"/>
          <w:i/>
          <w:color w:val="FF0000"/>
        </w:rPr>
        <w:t>Distribution of individual deposits number according to currencies in % - December 2015</w:t>
      </w:r>
    </w:p>
    <w:p w14:paraId="13A9A3A9" w14:textId="77777777" w:rsidR="00647478" w:rsidRPr="00511ECB" w:rsidRDefault="00647478" w:rsidP="00647478">
      <w:pPr>
        <w:spacing w:line="259" w:lineRule="auto"/>
        <w:jc w:val="both"/>
        <w:rPr>
          <w:rFonts w:ascii="Perpetua" w:eastAsia="Calibri" w:hAnsi="Perpetua" w:cs="Calibri"/>
        </w:rPr>
      </w:pPr>
    </w:p>
    <w:p w14:paraId="6DF84CC7" w14:textId="77777777" w:rsidR="00647478" w:rsidRPr="00511ECB" w:rsidRDefault="00647478" w:rsidP="00647478">
      <w:pPr>
        <w:spacing w:line="259" w:lineRule="auto"/>
        <w:jc w:val="center"/>
        <w:rPr>
          <w:rFonts w:ascii="Perpetua" w:eastAsia="Calibri" w:hAnsi="Perpetua" w:cs="Calibri"/>
        </w:rPr>
      </w:pPr>
      <w:r w:rsidRPr="00511ECB">
        <w:rPr>
          <w:rFonts w:ascii="Perpetua" w:eastAsia="Calibri" w:hAnsi="Perpetua"/>
          <w:noProof/>
          <w:lang w:eastAsia="en-GB"/>
        </w:rPr>
        <w:lastRenderedPageBreak/>
        <w:drawing>
          <wp:inline distT="0" distB="0" distL="0" distR="0" wp14:anchorId="3A159C3B" wp14:editId="6A175840">
            <wp:extent cx="4702629" cy="2671717"/>
            <wp:effectExtent l="0" t="0" r="317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A66BF2" w14:textId="77777777" w:rsidR="00647478" w:rsidRPr="00511ECB" w:rsidRDefault="00647478" w:rsidP="00647478">
      <w:pPr>
        <w:spacing w:line="259" w:lineRule="auto"/>
        <w:jc w:val="both"/>
        <w:rPr>
          <w:rFonts w:ascii="Perpetua" w:eastAsia="Calibri" w:hAnsi="Perpetua" w:cs="Calibri"/>
        </w:rPr>
      </w:pPr>
    </w:p>
    <w:p w14:paraId="30881448" w14:textId="77777777" w:rsidR="00647478" w:rsidRPr="00511ECB" w:rsidRDefault="003D0262" w:rsidP="00647478">
      <w:pPr>
        <w:spacing w:line="259" w:lineRule="auto"/>
        <w:jc w:val="right"/>
        <w:rPr>
          <w:rFonts w:ascii="Perpetua" w:eastAsia="MS Mincho" w:hAnsi="Perpetua" w:cs="Calibri"/>
          <w:i/>
          <w:color w:val="FF0000"/>
        </w:rPr>
      </w:pPr>
      <w:r w:rsidRPr="00511ECB">
        <w:rPr>
          <w:rFonts w:ascii="Perpetua" w:eastAsia="Calibri" w:hAnsi="Perpetua" w:cs="Calibri"/>
          <w:i/>
          <w:color w:val="FF0000"/>
        </w:rPr>
        <w:t>Graphic</w:t>
      </w:r>
      <w:r w:rsidR="00647478" w:rsidRPr="00511ECB">
        <w:rPr>
          <w:rFonts w:ascii="Perpetua" w:eastAsia="Calibri" w:hAnsi="Perpetua" w:cs="Calibri"/>
          <w:i/>
          <w:color w:val="FF0000"/>
        </w:rPr>
        <w:t xml:space="preserve"> 8. </w:t>
      </w:r>
      <w:r>
        <w:rPr>
          <w:rFonts w:ascii="Perpetua" w:eastAsia="MS Mincho" w:hAnsi="Perpetua" w:cs="Calibri"/>
          <w:i/>
          <w:color w:val="FF0000"/>
        </w:rPr>
        <w:t>S</w:t>
      </w:r>
      <w:r w:rsidRPr="003D0262">
        <w:rPr>
          <w:rFonts w:ascii="Perpetua" w:eastAsia="MS Mincho" w:hAnsi="Perpetua" w:cs="Calibri"/>
          <w:i/>
          <w:color w:val="FF0000"/>
        </w:rPr>
        <w:t xml:space="preserve">tructure of individual deposits amount according to currencies in  % - December 2015 </w:t>
      </w:r>
      <w:r w:rsidR="00647478" w:rsidRPr="00511ECB">
        <w:rPr>
          <w:rFonts w:ascii="Perpetua" w:eastAsia="MS Mincho" w:hAnsi="Perpetua" w:cs="Calibri"/>
          <w:i/>
          <w:color w:val="FF0000"/>
        </w:rPr>
        <w:t xml:space="preserve"> </w:t>
      </w:r>
    </w:p>
    <w:p w14:paraId="6F7EE12D" w14:textId="77777777" w:rsidR="00647478" w:rsidRPr="00511ECB" w:rsidRDefault="00647478" w:rsidP="00647478">
      <w:pPr>
        <w:spacing w:line="259" w:lineRule="auto"/>
        <w:ind w:left="426"/>
        <w:jc w:val="center"/>
        <w:rPr>
          <w:rFonts w:ascii="Perpetua" w:eastAsia="Calibri" w:hAnsi="Perpetua" w:cs="Calibri"/>
          <w:b/>
          <w:color w:val="FFFFFF"/>
        </w:rPr>
      </w:pPr>
      <w:r w:rsidRPr="00511ECB">
        <w:rPr>
          <w:rFonts w:ascii="Perpetua" w:eastAsia="Calibri" w:hAnsi="Perpetua"/>
          <w:noProof/>
          <w:lang w:eastAsia="en-GB"/>
        </w:rPr>
        <w:drawing>
          <wp:inline distT="0" distB="0" distL="0" distR="0" wp14:anchorId="1CA180C5" wp14:editId="7AD5C028">
            <wp:extent cx="4572000" cy="26517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915F13" w14:textId="77777777" w:rsidR="00647478" w:rsidRPr="00511ECB" w:rsidRDefault="003D0262" w:rsidP="00647478">
      <w:pPr>
        <w:spacing w:line="259" w:lineRule="auto"/>
        <w:ind w:left="426"/>
        <w:jc w:val="right"/>
        <w:rPr>
          <w:rFonts w:ascii="Perpetua" w:eastAsia="Calibri" w:hAnsi="Perpetua" w:cs="Calibri"/>
          <w:i/>
          <w:color w:val="FF0000"/>
        </w:rPr>
      </w:pPr>
      <w:r w:rsidRPr="00511ECB">
        <w:rPr>
          <w:rFonts w:ascii="Perpetua" w:eastAsia="Calibri" w:hAnsi="Perpetua" w:cs="Calibri"/>
          <w:i/>
          <w:color w:val="FF0000"/>
        </w:rPr>
        <w:t>Graphic</w:t>
      </w:r>
      <w:r w:rsidR="00647478" w:rsidRPr="00511ECB">
        <w:rPr>
          <w:rFonts w:ascii="Perpetua" w:eastAsia="Calibri" w:hAnsi="Perpetua" w:cs="Calibri"/>
          <w:i/>
          <w:color w:val="FF0000"/>
        </w:rPr>
        <w:t xml:space="preserve"> 9. </w:t>
      </w:r>
      <w:r w:rsidRPr="003D0262">
        <w:rPr>
          <w:rFonts w:ascii="Perpetua" w:eastAsia="Calibri" w:hAnsi="Perpetua" w:cs="Calibri"/>
          <w:bCs/>
          <w:i/>
          <w:color w:val="FF0000"/>
        </w:rPr>
        <w:t>Dynamics of system deposits according to currencies</w:t>
      </w:r>
    </w:p>
    <w:p w14:paraId="70F9531C" w14:textId="77777777" w:rsidR="00647478" w:rsidRPr="00511ECB" w:rsidRDefault="00647478" w:rsidP="00647478">
      <w:pPr>
        <w:spacing w:line="259" w:lineRule="auto"/>
        <w:rPr>
          <w:rFonts w:ascii="Perpetua" w:eastAsia="Calibri" w:hAnsi="Perpetua" w:cs="Calibri"/>
        </w:rPr>
      </w:pPr>
      <w:r w:rsidRPr="00511ECB">
        <w:rPr>
          <w:rFonts w:eastAsia="Calibri"/>
          <w:noProof/>
          <w:lang w:eastAsia="en-GB"/>
        </w:rPr>
        <w:lastRenderedPageBreak/>
        <w:drawing>
          <wp:inline distT="0" distB="0" distL="0" distR="0" wp14:anchorId="7539C061" wp14:editId="43964133">
            <wp:extent cx="5705856" cy="278257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F65914" w14:textId="77777777" w:rsidR="00647478" w:rsidRPr="00511ECB" w:rsidRDefault="00647478" w:rsidP="00647478">
      <w:pPr>
        <w:keepNext/>
        <w:keepLines/>
        <w:numPr>
          <w:ilvl w:val="1"/>
          <w:numId w:val="9"/>
        </w:numPr>
        <w:spacing w:before="40" w:after="0" w:line="259" w:lineRule="auto"/>
        <w:outlineLvl w:val="1"/>
        <w:rPr>
          <w:rFonts w:ascii="Perpetua" w:eastAsia="Times New Roman" w:hAnsi="Perpetua"/>
          <w:b/>
          <w:color w:val="FF0000"/>
          <w:sz w:val="28"/>
          <w:szCs w:val="26"/>
        </w:rPr>
      </w:pPr>
      <w:bookmarkStart w:id="58" w:name="_Toc487804074"/>
      <w:r w:rsidRPr="00511ECB">
        <w:rPr>
          <w:rFonts w:ascii="Perpetua" w:eastAsia="Times New Roman" w:hAnsi="Perpetua"/>
          <w:b/>
          <w:color w:val="FF0000"/>
          <w:sz w:val="28"/>
          <w:szCs w:val="26"/>
        </w:rPr>
        <w:t>Insured deposits</w:t>
      </w:r>
      <w:bookmarkEnd w:id="58"/>
    </w:p>
    <w:p w14:paraId="30C40A24" w14:textId="77777777" w:rsidR="00647478" w:rsidRPr="00511ECB" w:rsidRDefault="00647478" w:rsidP="00647478">
      <w:pPr>
        <w:spacing w:before="240"/>
        <w:jc w:val="both"/>
        <w:rPr>
          <w:rFonts w:ascii="Perpetua" w:eastAsia="Calibri" w:hAnsi="Perpetua" w:cs="Calibri"/>
          <w:sz w:val="26"/>
          <w:szCs w:val="26"/>
        </w:rPr>
      </w:pPr>
      <w:r w:rsidRPr="00511ECB">
        <w:rPr>
          <w:rFonts w:ascii="Perpetua" w:eastAsia="Calibri" w:hAnsi="Perpetua" w:cs="Calibri"/>
          <w:sz w:val="26"/>
          <w:szCs w:val="26"/>
        </w:rPr>
        <w:t xml:space="preserve">Insured deposits in the banking system are 591 billion </w:t>
      </w:r>
      <w:r>
        <w:rPr>
          <w:rFonts w:ascii="Perpetua" w:eastAsia="Calibri" w:hAnsi="Perpetua" w:cs="Calibri"/>
          <w:sz w:val="26"/>
          <w:szCs w:val="26"/>
        </w:rPr>
        <w:t xml:space="preserve">ALL and represent </w:t>
      </w:r>
      <w:r w:rsidRPr="00511ECB">
        <w:rPr>
          <w:rFonts w:ascii="Perpetua" w:eastAsia="Calibri" w:hAnsi="Perpetua" w:cs="Calibri"/>
          <w:sz w:val="26"/>
          <w:szCs w:val="26"/>
        </w:rPr>
        <w:t xml:space="preserve">66% of the individual deposits or 56% or the total system deposits, compared to 570,6 </w:t>
      </w:r>
      <w:r>
        <w:rPr>
          <w:rFonts w:ascii="Perpetua" w:eastAsia="Calibri" w:hAnsi="Perpetua" w:cs="Calibri"/>
          <w:sz w:val="26"/>
          <w:szCs w:val="26"/>
        </w:rPr>
        <w:t>billion</w:t>
      </w:r>
      <w:r w:rsidRPr="00511ECB">
        <w:rPr>
          <w:rFonts w:ascii="Perpetua" w:eastAsia="Calibri" w:hAnsi="Perpetua" w:cs="Calibri"/>
          <w:sz w:val="26"/>
          <w:szCs w:val="26"/>
        </w:rPr>
        <w:t xml:space="preserve"> </w:t>
      </w:r>
      <w:r>
        <w:rPr>
          <w:rFonts w:ascii="Perpetua" w:eastAsia="Calibri" w:hAnsi="Perpetua" w:cs="Calibri"/>
          <w:sz w:val="26"/>
          <w:szCs w:val="26"/>
        </w:rPr>
        <w:t>ALL</w:t>
      </w:r>
      <w:r w:rsidRPr="00511ECB">
        <w:rPr>
          <w:rFonts w:ascii="Perpetua" w:eastAsia="Calibri" w:hAnsi="Perpetua" w:cs="Calibri"/>
          <w:sz w:val="26"/>
          <w:szCs w:val="26"/>
        </w:rPr>
        <w:t xml:space="preserve"> </w:t>
      </w:r>
      <w:r>
        <w:rPr>
          <w:rFonts w:ascii="Perpetua" w:eastAsia="Calibri" w:hAnsi="Perpetua" w:cs="Calibri"/>
          <w:sz w:val="26"/>
          <w:szCs w:val="26"/>
        </w:rPr>
        <w:t>that they were worth a year ago</w:t>
      </w:r>
      <w:r w:rsidRPr="00511ECB">
        <w:rPr>
          <w:rFonts w:ascii="Perpetua" w:eastAsia="Calibri" w:hAnsi="Perpetua" w:cs="Calibri"/>
          <w:sz w:val="26"/>
          <w:szCs w:val="26"/>
        </w:rPr>
        <w:t xml:space="preserve">, indicating this way a growth of 20.5 billion </w:t>
      </w:r>
      <w:r>
        <w:rPr>
          <w:rFonts w:ascii="Perpetua" w:eastAsia="Calibri" w:hAnsi="Perpetua" w:cs="Calibri"/>
          <w:sz w:val="26"/>
          <w:szCs w:val="26"/>
        </w:rPr>
        <w:t>ALL</w:t>
      </w:r>
      <w:r w:rsidRPr="00511ECB">
        <w:rPr>
          <w:rFonts w:ascii="Perpetua" w:eastAsia="Calibri" w:hAnsi="Perpetua" w:cs="Calibri"/>
          <w:sz w:val="26"/>
          <w:szCs w:val="26"/>
        </w:rPr>
        <w:t xml:space="preserve"> or 3.6 %. In December 2015 the major part of the insured deposits belongs to the deposits in </w:t>
      </w:r>
      <w:r>
        <w:rPr>
          <w:rFonts w:ascii="Perpetua" w:eastAsia="Calibri" w:hAnsi="Perpetua" w:cs="Calibri"/>
          <w:sz w:val="26"/>
          <w:szCs w:val="26"/>
        </w:rPr>
        <w:t>ALL</w:t>
      </w:r>
      <w:r w:rsidRPr="00511ECB">
        <w:rPr>
          <w:rFonts w:ascii="Perpetua" w:eastAsia="Calibri" w:hAnsi="Perpetua" w:cs="Calibri"/>
          <w:sz w:val="26"/>
          <w:szCs w:val="26"/>
        </w:rPr>
        <w:t xml:space="preserve"> with 58% followed by the deposits in euro and dollar with respectively 37% and 4%.</w:t>
      </w:r>
    </w:p>
    <w:p w14:paraId="6BC5D18E" w14:textId="77777777" w:rsidR="00647478" w:rsidRPr="00511ECB" w:rsidRDefault="00647478" w:rsidP="00647478">
      <w:pPr>
        <w:spacing w:before="240"/>
        <w:jc w:val="both"/>
        <w:rPr>
          <w:rFonts w:ascii="Perpetua" w:eastAsia="Calibri" w:hAnsi="Perpetua" w:cs="Calibri"/>
          <w:sz w:val="26"/>
          <w:szCs w:val="26"/>
        </w:rPr>
      </w:pPr>
    </w:p>
    <w:p w14:paraId="1F05238F" w14:textId="77777777" w:rsidR="00647478" w:rsidRPr="00511ECB" w:rsidRDefault="003D0262" w:rsidP="00647478">
      <w:pPr>
        <w:spacing w:before="240" w:after="0"/>
        <w:jc w:val="right"/>
        <w:rPr>
          <w:rFonts w:ascii="Perpetua" w:eastAsia="Calibri" w:hAnsi="Perpetua"/>
          <w:i/>
          <w:iCs/>
          <w:color w:val="FF0000"/>
          <w:szCs w:val="26"/>
        </w:rPr>
      </w:pPr>
      <w:r w:rsidRPr="00511ECB">
        <w:rPr>
          <w:rFonts w:ascii="Perpetua" w:eastAsia="Calibri" w:hAnsi="Perpetua"/>
          <w:i/>
          <w:iCs/>
          <w:color w:val="FF0000"/>
          <w:szCs w:val="26"/>
        </w:rPr>
        <w:t>Graphic</w:t>
      </w:r>
      <w:r w:rsidR="00647478" w:rsidRPr="00511ECB">
        <w:rPr>
          <w:rFonts w:ascii="Perpetua" w:eastAsia="Calibri" w:hAnsi="Perpetua"/>
          <w:i/>
          <w:iCs/>
          <w:color w:val="FF0000"/>
          <w:szCs w:val="26"/>
        </w:rPr>
        <w:t xml:space="preserve"> 10. </w:t>
      </w:r>
      <w:r w:rsidRPr="003D0262">
        <w:rPr>
          <w:rFonts w:ascii="Perpetua" w:eastAsia="Calibri" w:hAnsi="Perpetua"/>
          <w:i/>
          <w:iCs/>
          <w:color w:val="FF0000"/>
          <w:szCs w:val="26"/>
        </w:rPr>
        <w:t>Structure of system insured deposits amount according to currencies in % - December 2015</w:t>
      </w:r>
    </w:p>
    <w:p w14:paraId="2331D8E0" w14:textId="77777777" w:rsidR="00647478" w:rsidRPr="00511ECB" w:rsidRDefault="00647478" w:rsidP="00647478">
      <w:pPr>
        <w:spacing w:after="0"/>
        <w:jc w:val="both"/>
        <w:rPr>
          <w:rFonts w:ascii="Perpetua" w:eastAsia="Calibri" w:hAnsi="Perpetua" w:cs="Calibri"/>
          <w:sz w:val="2"/>
          <w:szCs w:val="26"/>
        </w:rPr>
      </w:pPr>
    </w:p>
    <w:p w14:paraId="4A59DE7E" w14:textId="77777777" w:rsidR="00647478" w:rsidRPr="00511ECB" w:rsidRDefault="00647478" w:rsidP="00647478">
      <w:pPr>
        <w:jc w:val="center"/>
        <w:rPr>
          <w:rFonts w:ascii="Perpetua" w:eastAsia="Calibri" w:hAnsi="Perpetua" w:cs="Calibri"/>
          <w:sz w:val="26"/>
          <w:szCs w:val="26"/>
        </w:rPr>
      </w:pPr>
      <w:r w:rsidRPr="00511ECB">
        <w:rPr>
          <w:rFonts w:eastAsia="Calibri"/>
          <w:noProof/>
          <w:lang w:eastAsia="en-GB"/>
        </w:rPr>
        <w:drawing>
          <wp:inline distT="0" distB="0" distL="0" distR="0" wp14:anchorId="76501405" wp14:editId="791D037E">
            <wp:extent cx="4667534" cy="2729552"/>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B96ECC" w14:textId="77777777" w:rsidR="00647478" w:rsidRPr="00511ECB" w:rsidRDefault="00647478" w:rsidP="00647478">
      <w:pPr>
        <w:jc w:val="both"/>
        <w:rPr>
          <w:rFonts w:ascii="Perpetua" w:eastAsia="Calibri" w:hAnsi="Perpetua" w:cs="Calibri"/>
          <w:sz w:val="26"/>
          <w:szCs w:val="26"/>
        </w:rPr>
      </w:pPr>
    </w:p>
    <w:p w14:paraId="08DC7EF3" w14:textId="77777777" w:rsidR="00647478" w:rsidRPr="00511ECB" w:rsidRDefault="00647478" w:rsidP="00647478">
      <w:pPr>
        <w:spacing w:before="240"/>
        <w:jc w:val="both"/>
        <w:rPr>
          <w:rFonts w:ascii="Perpetua" w:eastAsia="Calibri" w:hAnsi="Perpetua" w:cs="Calibri"/>
          <w:sz w:val="26"/>
          <w:szCs w:val="26"/>
        </w:rPr>
      </w:pPr>
      <w:r w:rsidRPr="00511ECB">
        <w:rPr>
          <w:rFonts w:ascii="Perpetua" w:eastAsia="Calibri" w:hAnsi="Perpetua" w:cs="Calibri"/>
          <w:sz w:val="26"/>
          <w:szCs w:val="26"/>
        </w:rPr>
        <w:lastRenderedPageBreak/>
        <w:t xml:space="preserve">Fully covered deposits (equal or less than 2.5mln </w:t>
      </w:r>
      <w:r>
        <w:rPr>
          <w:rFonts w:ascii="Perpetua" w:eastAsia="Calibri" w:hAnsi="Perpetua" w:cs="Calibri"/>
          <w:sz w:val="26"/>
          <w:szCs w:val="26"/>
        </w:rPr>
        <w:t>ALL</w:t>
      </w:r>
      <w:r w:rsidRPr="00511ECB">
        <w:rPr>
          <w:rFonts w:ascii="Perpetua" w:eastAsia="Calibri" w:hAnsi="Perpetua" w:cs="Calibri"/>
          <w:sz w:val="26"/>
          <w:szCs w:val="26"/>
        </w:rPr>
        <w:t xml:space="preserve">) represent 42 % of the individual deposits and their total in the end 2015 is 368.17 billion </w:t>
      </w:r>
      <w:r>
        <w:rPr>
          <w:rFonts w:ascii="Perpetua" w:eastAsia="Calibri" w:hAnsi="Perpetua" w:cs="Calibri"/>
          <w:sz w:val="26"/>
          <w:szCs w:val="26"/>
        </w:rPr>
        <w:t>ALL</w:t>
      </w:r>
      <w:r w:rsidRPr="00511ECB">
        <w:rPr>
          <w:rFonts w:ascii="Perpetua" w:eastAsia="Calibri" w:hAnsi="Perpetua" w:cs="Calibri"/>
          <w:sz w:val="26"/>
          <w:szCs w:val="26"/>
        </w:rPr>
        <w:t>. These deposits belong to 2,028,208</w:t>
      </w:r>
      <w:r>
        <w:rPr>
          <w:rFonts w:ascii="Perpetua" w:eastAsia="Calibri" w:hAnsi="Perpetua" w:cs="Calibri"/>
          <w:sz w:val="26"/>
          <w:szCs w:val="26"/>
        </w:rPr>
        <w:t xml:space="preserve"> </w:t>
      </w:r>
      <w:r w:rsidRPr="00511ECB">
        <w:rPr>
          <w:rFonts w:ascii="Perpetua" w:eastAsia="Calibri" w:hAnsi="Perpetua" w:cs="Calibri"/>
          <w:sz w:val="26"/>
          <w:szCs w:val="26"/>
        </w:rPr>
        <w:t>insured deposito</w:t>
      </w:r>
      <w:r>
        <w:rPr>
          <w:rFonts w:ascii="Perpetua" w:eastAsia="Calibri" w:hAnsi="Perpetua" w:cs="Calibri"/>
          <w:sz w:val="26"/>
          <w:szCs w:val="26"/>
        </w:rPr>
        <w:t>rs, who represent</w:t>
      </w:r>
      <w:r w:rsidRPr="00511ECB">
        <w:rPr>
          <w:rFonts w:ascii="Perpetua" w:eastAsia="Calibri" w:hAnsi="Perpetua" w:cs="Calibri"/>
          <w:sz w:val="26"/>
          <w:szCs w:val="26"/>
        </w:rPr>
        <w:t xml:space="preserve"> 96% of individual depositors. Compared to the previous year these deposits experienced a growth of 5.5% and the number of depositors who own these deposits grew with 3.3%.</w:t>
      </w:r>
    </w:p>
    <w:p w14:paraId="0DFEE70E" w14:textId="77777777" w:rsidR="00647478" w:rsidRPr="00511ECB" w:rsidRDefault="00647478" w:rsidP="00647478">
      <w:pPr>
        <w:spacing w:before="240"/>
        <w:jc w:val="both"/>
        <w:rPr>
          <w:rFonts w:ascii="Perpetua" w:eastAsia="Calibri" w:hAnsi="Perpetua" w:cs="Calibri"/>
          <w:sz w:val="26"/>
          <w:szCs w:val="26"/>
        </w:rPr>
      </w:pPr>
      <w:r w:rsidRPr="00511ECB">
        <w:rPr>
          <w:rFonts w:ascii="Perpetua" w:eastAsia="Calibri" w:hAnsi="Perpetua" w:cs="Calibri"/>
          <w:sz w:val="26"/>
          <w:szCs w:val="26"/>
        </w:rPr>
        <w:t xml:space="preserve">Partially insured deposits (in excess of 2.5mln </w:t>
      </w:r>
      <w:r>
        <w:rPr>
          <w:rFonts w:ascii="Perpetua" w:eastAsia="Calibri" w:hAnsi="Perpetua" w:cs="Calibri"/>
          <w:sz w:val="26"/>
          <w:szCs w:val="26"/>
        </w:rPr>
        <w:t>ALL</w:t>
      </w:r>
      <w:r w:rsidRPr="00511ECB">
        <w:rPr>
          <w:rFonts w:ascii="Perpetua" w:eastAsia="Calibri" w:hAnsi="Perpetua" w:cs="Calibri"/>
          <w:sz w:val="26"/>
          <w:szCs w:val="26"/>
        </w:rPr>
        <w:t xml:space="preserve">) went down from 517.36 billion </w:t>
      </w:r>
      <w:r>
        <w:rPr>
          <w:rFonts w:ascii="Perpetua" w:eastAsia="Calibri" w:hAnsi="Perpetua" w:cs="Calibri"/>
          <w:sz w:val="26"/>
          <w:szCs w:val="26"/>
        </w:rPr>
        <w:t>ALL</w:t>
      </w:r>
      <w:r w:rsidRPr="00511ECB">
        <w:rPr>
          <w:rFonts w:ascii="Perpetua" w:eastAsia="Calibri" w:hAnsi="Perpetua" w:cs="Calibri"/>
          <w:sz w:val="26"/>
          <w:szCs w:val="26"/>
        </w:rPr>
        <w:t xml:space="preserve"> by the end of 2014 to 516.62 billion </w:t>
      </w:r>
      <w:r>
        <w:rPr>
          <w:rFonts w:ascii="Perpetua" w:eastAsia="Calibri" w:hAnsi="Perpetua" w:cs="Calibri"/>
          <w:sz w:val="26"/>
          <w:szCs w:val="26"/>
        </w:rPr>
        <w:t>ALL</w:t>
      </w:r>
      <w:r w:rsidRPr="00511ECB">
        <w:rPr>
          <w:rFonts w:ascii="Perpetua" w:eastAsia="Calibri" w:hAnsi="Perpetua" w:cs="Calibri"/>
          <w:sz w:val="26"/>
          <w:szCs w:val="26"/>
        </w:rPr>
        <w:t xml:space="preserve"> at the end of 2015 suffering a decrease of 743 mln </w:t>
      </w:r>
      <w:r>
        <w:rPr>
          <w:rFonts w:ascii="Perpetua" w:eastAsia="Calibri" w:hAnsi="Perpetua" w:cs="Calibri"/>
          <w:sz w:val="26"/>
          <w:szCs w:val="26"/>
        </w:rPr>
        <w:t>ALL</w:t>
      </w:r>
      <w:r w:rsidRPr="00511ECB">
        <w:rPr>
          <w:rFonts w:ascii="Perpetua" w:eastAsia="Calibri" w:hAnsi="Perpetua" w:cs="Calibri"/>
          <w:sz w:val="26"/>
          <w:szCs w:val="26"/>
        </w:rPr>
        <w:t xml:space="preserve">. </w:t>
      </w:r>
    </w:p>
    <w:p w14:paraId="06F2AF19" w14:textId="77777777" w:rsidR="00647478" w:rsidRPr="00511ECB" w:rsidRDefault="00647478" w:rsidP="00647478">
      <w:pPr>
        <w:spacing w:before="240"/>
        <w:jc w:val="both"/>
        <w:rPr>
          <w:rFonts w:ascii="Perpetua" w:eastAsia="Calibri" w:hAnsi="Perpetua" w:cs="Calibri"/>
          <w:sz w:val="26"/>
          <w:szCs w:val="26"/>
        </w:rPr>
      </w:pPr>
      <w:r w:rsidRPr="00511ECB">
        <w:rPr>
          <w:rFonts w:ascii="Perpetua" w:eastAsia="Calibri" w:hAnsi="Perpetua" w:cs="Calibri"/>
          <w:sz w:val="26"/>
          <w:szCs w:val="26"/>
        </w:rPr>
        <w:t xml:space="preserve">These deposits represent 58% of the individual deposits who profit from the scheme and </w:t>
      </w:r>
      <w:r>
        <w:rPr>
          <w:rFonts w:ascii="Perpetua" w:eastAsia="Calibri" w:hAnsi="Perpetua" w:cs="Calibri"/>
          <w:sz w:val="26"/>
          <w:szCs w:val="26"/>
        </w:rPr>
        <w:t>b</w:t>
      </w:r>
      <w:r w:rsidRPr="00511ECB">
        <w:rPr>
          <w:rFonts w:ascii="Perpetua" w:eastAsia="Calibri" w:hAnsi="Perpetua" w:cs="Calibri"/>
          <w:sz w:val="26"/>
          <w:szCs w:val="26"/>
        </w:rPr>
        <w:t>elong to 89,181 depositors, who represent 4% of the individual depositors</w:t>
      </w:r>
    </w:p>
    <w:p w14:paraId="27340F9A" w14:textId="77777777" w:rsidR="00647478" w:rsidRPr="00511ECB" w:rsidRDefault="00647478" w:rsidP="00647478">
      <w:pPr>
        <w:spacing w:before="240"/>
        <w:jc w:val="both"/>
        <w:rPr>
          <w:rFonts w:ascii="Perpetua" w:eastAsia="Calibri" w:hAnsi="Perpetua" w:cs="Calibri"/>
          <w:sz w:val="26"/>
          <w:szCs w:val="26"/>
        </w:rPr>
      </w:pPr>
    </w:p>
    <w:p w14:paraId="13473F4B" w14:textId="77777777" w:rsidR="00647478" w:rsidRPr="00511ECB" w:rsidRDefault="003D0262" w:rsidP="00647478">
      <w:pPr>
        <w:spacing w:before="240"/>
        <w:jc w:val="right"/>
        <w:rPr>
          <w:rFonts w:ascii="Perpetua" w:eastAsia="Calibri" w:hAnsi="Perpetua"/>
          <w:i/>
          <w:snapToGrid w:val="0"/>
          <w:color w:val="FF0000"/>
        </w:rPr>
      </w:pPr>
      <w:r w:rsidRPr="003D0262">
        <w:rPr>
          <w:rFonts w:ascii="Perpetua" w:eastAsia="Times New Roman" w:hAnsi="Perpetua"/>
          <w:i/>
          <w:snapToGrid w:val="0"/>
          <w:color w:val="FF0000"/>
        </w:rPr>
        <w:t>Graph 11. Dynamics of the individual deposits classified by coverage level</w:t>
      </w:r>
    </w:p>
    <w:p w14:paraId="2F53EA80" w14:textId="77777777" w:rsidR="00647478" w:rsidRPr="00511ECB" w:rsidRDefault="00647478" w:rsidP="00647478">
      <w:pPr>
        <w:spacing w:line="259" w:lineRule="auto"/>
        <w:rPr>
          <w:rFonts w:ascii="Perpetua" w:eastAsia="Times New Roman" w:hAnsi="Perpetua"/>
          <w:snapToGrid w:val="0"/>
          <w:color w:val="000000"/>
          <w:sz w:val="10"/>
          <w:szCs w:val="10"/>
        </w:rPr>
      </w:pPr>
      <w:r w:rsidRPr="00511ECB">
        <w:rPr>
          <w:rFonts w:ascii="Perpetua" w:eastAsia="Calibri" w:hAnsi="Perpetua"/>
          <w:noProof/>
          <w:lang w:eastAsia="en-GB"/>
        </w:rPr>
        <w:drawing>
          <wp:inline distT="0" distB="0" distL="0" distR="0" wp14:anchorId="691BE664" wp14:editId="6E6280A3">
            <wp:extent cx="5876925" cy="27717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1580A90" w14:textId="77777777" w:rsidR="00647478" w:rsidRPr="00511ECB" w:rsidRDefault="00647478" w:rsidP="00647478">
      <w:pPr>
        <w:spacing w:line="259" w:lineRule="auto"/>
        <w:jc w:val="both"/>
        <w:rPr>
          <w:rFonts w:ascii="Perpetua" w:eastAsia="Calibri" w:hAnsi="Perpetua" w:cs="Calibri"/>
          <w:sz w:val="26"/>
          <w:szCs w:val="26"/>
        </w:rPr>
      </w:pPr>
    </w:p>
    <w:p w14:paraId="699A1CE3" w14:textId="77777777" w:rsidR="00647478" w:rsidRPr="00511ECB" w:rsidRDefault="00647478" w:rsidP="00647478">
      <w:pPr>
        <w:spacing w:line="259" w:lineRule="auto"/>
        <w:jc w:val="both"/>
        <w:rPr>
          <w:rFonts w:ascii="Perpetua" w:eastAsia="Calibri" w:hAnsi="Perpetua" w:cs="Calibri"/>
          <w:sz w:val="26"/>
          <w:szCs w:val="26"/>
        </w:rPr>
      </w:pPr>
    </w:p>
    <w:p w14:paraId="585323DA" w14:textId="77777777" w:rsidR="00647478" w:rsidRPr="00511ECB" w:rsidRDefault="00647478" w:rsidP="00647478">
      <w:pPr>
        <w:spacing w:line="259" w:lineRule="auto"/>
        <w:jc w:val="both"/>
        <w:rPr>
          <w:rFonts w:ascii="Perpetua" w:eastAsia="Calibri" w:hAnsi="Perpetua" w:cs="Calibri"/>
          <w:sz w:val="26"/>
          <w:szCs w:val="26"/>
        </w:rPr>
      </w:pPr>
      <w:r w:rsidRPr="00511ECB">
        <w:rPr>
          <w:rFonts w:ascii="Perpetua" w:eastAsia="Calibri" w:hAnsi="Perpetua" w:cs="Calibri"/>
          <w:sz w:val="26"/>
          <w:szCs w:val="26"/>
        </w:rPr>
        <w:t xml:space="preserve">In the period </w:t>
      </w:r>
      <w:r>
        <w:rPr>
          <w:rFonts w:ascii="Perpetua" w:eastAsia="Calibri" w:hAnsi="Perpetua" w:cs="Calibri"/>
          <w:sz w:val="26"/>
          <w:szCs w:val="26"/>
        </w:rPr>
        <w:t>ranging</w:t>
      </w:r>
      <w:r w:rsidRPr="00511ECB">
        <w:rPr>
          <w:rFonts w:ascii="Perpetua" w:eastAsia="Calibri" w:hAnsi="Perpetua" w:cs="Calibri"/>
          <w:sz w:val="26"/>
          <w:szCs w:val="26"/>
        </w:rPr>
        <w:t xml:space="preserve"> 2009-2015, the percentage of individual deposits worth up to 2.5mln </w:t>
      </w:r>
      <w:r>
        <w:rPr>
          <w:rFonts w:ascii="Perpetua" w:eastAsia="Calibri" w:hAnsi="Perpetua" w:cs="Calibri"/>
          <w:sz w:val="26"/>
          <w:szCs w:val="26"/>
        </w:rPr>
        <w:t>ALL</w:t>
      </w:r>
      <w:r w:rsidRPr="00511ECB">
        <w:rPr>
          <w:rFonts w:ascii="Perpetua" w:eastAsia="Calibri" w:hAnsi="Perpetua" w:cs="Calibri"/>
          <w:sz w:val="26"/>
          <w:szCs w:val="26"/>
        </w:rPr>
        <w:t xml:space="preserve"> varies from 40% to 49% of the individual deposits total. In December 2015 fully covered deposits represent 42% of the individual deposits or 62 percent of the insured deposits</w:t>
      </w:r>
      <w:r w:rsidRPr="00511ECB">
        <w:rPr>
          <w:rFonts w:ascii="Perpetua" w:eastAsia="Calibri" w:hAnsi="Perpetua" w:cs="Calibri"/>
          <w:sz w:val="26"/>
          <w:szCs w:val="26"/>
          <w:vertAlign w:val="superscript"/>
        </w:rPr>
        <w:footnoteReference w:id="1"/>
      </w:r>
      <w:r w:rsidRPr="00511ECB">
        <w:rPr>
          <w:rFonts w:ascii="Perpetua" w:eastAsia="Calibri" w:hAnsi="Perpetua" w:cs="Calibri"/>
          <w:sz w:val="26"/>
          <w:szCs w:val="26"/>
        </w:rPr>
        <w:t>.</w:t>
      </w:r>
    </w:p>
    <w:p w14:paraId="089357E9" w14:textId="77777777" w:rsidR="00647478" w:rsidRPr="00511ECB" w:rsidRDefault="003D0262" w:rsidP="00647478">
      <w:pPr>
        <w:spacing w:line="259" w:lineRule="auto"/>
        <w:jc w:val="right"/>
        <w:rPr>
          <w:rFonts w:ascii="Perpetua" w:eastAsia="Calibri" w:hAnsi="Perpetua"/>
          <w:i/>
          <w:snapToGrid w:val="0"/>
          <w:color w:val="FF0000"/>
        </w:rPr>
      </w:pPr>
      <w:r w:rsidRPr="003D0262">
        <w:rPr>
          <w:rFonts w:ascii="Perpetua" w:eastAsia="Times New Roman" w:hAnsi="Perpetua"/>
          <w:i/>
          <w:snapToGrid w:val="0"/>
          <w:color w:val="FF0000"/>
        </w:rPr>
        <w:t>Graf 12.  Dynamics of the individual deposits classified by coverage level 2009-2015</w:t>
      </w:r>
    </w:p>
    <w:p w14:paraId="17A046D6" w14:textId="77777777" w:rsidR="00647478" w:rsidRPr="00511ECB" w:rsidRDefault="00647478" w:rsidP="00647478">
      <w:pPr>
        <w:spacing w:line="259" w:lineRule="auto"/>
        <w:jc w:val="both"/>
        <w:rPr>
          <w:rFonts w:ascii="Perpetua" w:eastAsia="Calibri" w:hAnsi="Perpetua" w:cs="Calibri"/>
          <w:sz w:val="26"/>
          <w:szCs w:val="26"/>
        </w:rPr>
      </w:pPr>
    </w:p>
    <w:p w14:paraId="7ACA3443" w14:textId="77777777" w:rsidR="00647478" w:rsidRPr="00511ECB" w:rsidRDefault="00647478" w:rsidP="00647478">
      <w:pPr>
        <w:spacing w:line="259" w:lineRule="auto"/>
        <w:jc w:val="center"/>
        <w:rPr>
          <w:rFonts w:ascii="Perpetua" w:eastAsia="Calibri" w:hAnsi="Perpetua" w:cs="Calibri"/>
          <w:sz w:val="26"/>
          <w:szCs w:val="26"/>
        </w:rPr>
      </w:pPr>
      <w:r w:rsidRPr="00511ECB">
        <w:rPr>
          <w:rFonts w:eastAsia="Calibri"/>
          <w:noProof/>
          <w:lang w:eastAsia="en-GB"/>
        </w:rPr>
        <w:lastRenderedPageBreak/>
        <w:drawing>
          <wp:inline distT="0" distB="0" distL="0" distR="0" wp14:anchorId="53EDE626" wp14:editId="68A3203C">
            <wp:extent cx="4457700" cy="2700020"/>
            <wp:effectExtent l="0" t="0" r="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43FB35" w14:textId="77777777" w:rsidR="00647478" w:rsidRPr="00511ECB" w:rsidRDefault="00647478" w:rsidP="00647478">
      <w:pPr>
        <w:spacing w:before="240"/>
        <w:jc w:val="both"/>
        <w:rPr>
          <w:rFonts w:ascii="Perpetua" w:eastAsia="Calibri" w:hAnsi="Perpetua" w:cs="Calibri"/>
          <w:sz w:val="26"/>
          <w:szCs w:val="26"/>
        </w:rPr>
      </w:pPr>
      <w:r w:rsidRPr="00511ECB">
        <w:rPr>
          <w:rFonts w:ascii="Perpetua" w:eastAsia="Calibri" w:hAnsi="Perpetua" w:cs="Calibri"/>
          <w:sz w:val="26"/>
          <w:szCs w:val="26"/>
        </w:rPr>
        <w:t>At the end of 2015, the percentage of depositors who are fully covered reached 96% of the individual depositors total that benefit from the deposit insurance scheme. For the period 2009-2015 the percentage</w:t>
      </w:r>
      <w:r>
        <w:rPr>
          <w:rFonts w:ascii="Perpetua" w:eastAsia="Calibri" w:hAnsi="Perpetua" w:cs="Calibri"/>
          <w:sz w:val="26"/>
          <w:szCs w:val="26"/>
        </w:rPr>
        <w:t xml:space="preserve"> </w:t>
      </w:r>
      <w:r w:rsidRPr="00511ECB">
        <w:rPr>
          <w:rFonts w:ascii="Perpetua" w:eastAsia="Calibri" w:hAnsi="Perpetua" w:cs="Calibri"/>
          <w:sz w:val="26"/>
          <w:szCs w:val="26"/>
        </w:rPr>
        <w:t>of individual depositors with deposits up to 2.5mln ALL varies between 95-96%.</w:t>
      </w:r>
    </w:p>
    <w:p w14:paraId="5D08E64F" w14:textId="77777777" w:rsidR="00647478" w:rsidRPr="00511ECB" w:rsidRDefault="00647478" w:rsidP="00647478">
      <w:pPr>
        <w:spacing w:line="259" w:lineRule="auto"/>
        <w:jc w:val="both"/>
        <w:rPr>
          <w:rFonts w:ascii="Perpetua" w:eastAsia="Calibri" w:hAnsi="Perpetua" w:cs="Calibri"/>
          <w:sz w:val="26"/>
          <w:szCs w:val="26"/>
        </w:rPr>
      </w:pPr>
    </w:p>
    <w:p w14:paraId="39785E89" w14:textId="77777777" w:rsidR="00647478" w:rsidRPr="00511ECB" w:rsidRDefault="003D0262" w:rsidP="00647478">
      <w:pPr>
        <w:spacing w:line="259" w:lineRule="auto"/>
        <w:jc w:val="right"/>
        <w:rPr>
          <w:rFonts w:ascii="Perpetua" w:eastAsia="Calibri" w:hAnsi="Perpetua"/>
          <w:i/>
          <w:snapToGrid w:val="0"/>
          <w:color w:val="FF0000"/>
        </w:rPr>
      </w:pPr>
      <w:r w:rsidRPr="003D0262">
        <w:rPr>
          <w:rFonts w:ascii="Perpetua" w:eastAsia="Times New Roman" w:hAnsi="Perpetua"/>
          <w:i/>
          <w:snapToGrid w:val="0"/>
          <w:color w:val="FF0000"/>
        </w:rPr>
        <w:t>Graph 13.Dynamics of individual depositors’ number compared to coverage level 2009-2015</w:t>
      </w:r>
    </w:p>
    <w:p w14:paraId="59CF6E95" w14:textId="77777777" w:rsidR="00647478" w:rsidRPr="00511ECB" w:rsidRDefault="00647478" w:rsidP="00647478">
      <w:pPr>
        <w:spacing w:before="240"/>
        <w:jc w:val="center"/>
        <w:rPr>
          <w:rFonts w:ascii="Perpetua" w:eastAsia="Calibri" w:hAnsi="Perpetua"/>
          <w:b/>
          <w:color w:val="FF0000"/>
          <w:sz w:val="28"/>
          <w:szCs w:val="26"/>
        </w:rPr>
        <w:sectPr w:rsidR="00647478" w:rsidRPr="00511ECB" w:rsidSect="006E7E78">
          <w:pgSz w:w="11906" w:h="16838"/>
          <w:pgMar w:top="851" w:right="1440" w:bottom="1440" w:left="1440" w:header="708" w:footer="708" w:gutter="0"/>
          <w:cols w:space="708"/>
          <w:docGrid w:linePitch="360"/>
        </w:sectPr>
      </w:pPr>
      <w:r w:rsidRPr="00511ECB">
        <w:rPr>
          <w:rFonts w:eastAsia="Calibri"/>
          <w:noProof/>
          <w:lang w:eastAsia="en-GB"/>
        </w:rPr>
        <w:drawing>
          <wp:inline distT="0" distB="0" distL="0" distR="0" wp14:anchorId="5518953B" wp14:editId="2B21E6CE">
            <wp:extent cx="4229100" cy="3158837"/>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F7EBE7" w14:textId="34439DE5" w:rsidR="00C40EC0" w:rsidRPr="00C40EC0" w:rsidRDefault="00C40EC0" w:rsidP="00C40EC0">
      <w:pPr>
        <w:pStyle w:val="Heading2"/>
        <w:keepLines/>
        <w:numPr>
          <w:ilvl w:val="1"/>
          <w:numId w:val="9"/>
        </w:numPr>
        <w:spacing w:line="259" w:lineRule="auto"/>
        <w:rPr>
          <w:rFonts w:ascii="Perpetua" w:hAnsi="Perpetua"/>
          <w:b/>
          <w:color w:val="FF0000"/>
          <w:sz w:val="28"/>
        </w:rPr>
      </w:pPr>
      <w:bookmarkStart w:id="59" w:name="_Toc487804075"/>
      <w:r w:rsidRPr="00C40EC0">
        <w:rPr>
          <w:rFonts w:ascii="Perpetua" w:hAnsi="Perpetua"/>
          <w:b/>
          <w:color w:val="FF0000"/>
          <w:sz w:val="28"/>
        </w:rPr>
        <w:lastRenderedPageBreak/>
        <w:t>Verification process</w:t>
      </w:r>
      <w:bookmarkEnd w:id="59"/>
    </w:p>
    <w:p w14:paraId="5121F434" w14:textId="55DE1F2D" w:rsidR="00C40EC0" w:rsidRPr="00C40EC0" w:rsidRDefault="00C40EC0" w:rsidP="00C40EC0">
      <w:pPr>
        <w:spacing w:before="240" w:after="0" w:line="276" w:lineRule="auto"/>
        <w:jc w:val="both"/>
        <w:rPr>
          <w:rFonts w:ascii="Perpetua" w:hAnsi="Perpetua"/>
          <w:sz w:val="26"/>
          <w:szCs w:val="26"/>
        </w:rPr>
      </w:pPr>
      <w:r w:rsidRPr="00C40EC0">
        <w:rPr>
          <w:rFonts w:ascii="Perpetua" w:hAnsi="Perpetua"/>
          <w:sz w:val="26"/>
          <w:szCs w:val="26"/>
        </w:rPr>
        <w:t>During 2015 the Agency has carried out verification</w:t>
      </w:r>
      <w:r>
        <w:rPr>
          <w:rFonts w:ascii="Perpetua" w:hAnsi="Perpetua"/>
          <w:sz w:val="26"/>
          <w:szCs w:val="26"/>
        </w:rPr>
        <w:t xml:space="preserve"> inspections in all the banks of Albanian banking system.</w:t>
      </w:r>
      <w:r w:rsidRPr="00C40EC0">
        <w:rPr>
          <w:rFonts w:ascii="Perpetua" w:hAnsi="Perpetua"/>
          <w:sz w:val="26"/>
          <w:szCs w:val="26"/>
        </w:rPr>
        <w:t xml:space="preserve"> </w:t>
      </w:r>
      <w:r>
        <w:rPr>
          <w:rFonts w:ascii="Perpetua" w:hAnsi="Perpetua"/>
          <w:sz w:val="26"/>
          <w:szCs w:val="26"/>
        </w:rPr>
        <w:t xml:space="preserve">Likewise, the preceding year, even during 2016 the focus of the inspection teams has been improving the quality of depositor data, single customer view, etc., with the aim to be prepared for a swift and accurate compensation process. </w:t>
      </w:r>
    </w:p>
    <w:p w14:paraId="1EA24F53" w14:textId="7093267B" w:rsidR="00C40EC0" w:rsidRPr="00C40EC0" w:rsidRDefault="00C40EC0" w:rsidP="00C40EC0">
      <w:pPr>
        <w:spacing w:before="240" w:after="0" w:line="276" w:lineRule="auto"/>
        <w:jc w:val="both"/>
        <w:rPr>
          <w:rFonts w:ascii="Perpetua" w:hAnsi="Perpetua"/>
          <w:sz w:val="26"/>
          <w:szCs w:val="26"/>
        </w:rPr>
      </w:pPr>
      <w:r>
        <w:rPr>
          <w:rFonts w:ascii="Perpetua" w:hAnsi="Perpetua"/>
          <w:sz w:val="26"/>
          <w:szCs w:val="26"/>
        </w:rPr>
        <w:t xml:space="preserve">Following the verification process in all the 16 banks of the system it resulted that serious and engaging efforts are being made to update and improve the quality of depositor data, although this remains a challenge. </w:t>
      </w:r>
    </w:p>
    <w:p w14:paraId="53C9F439" w14:textId="25647A79" w:rsidR="00C40EC0" w:rsidRPr="00C40EC0" w:rsidRDefault="00A86822" w:rsidP="00C40EC0">
      <w:pPr>
        <w:spacing w:before="240" w:after="0" w:line="276" w:lineRule="auto"/>
        <w:jc w:val="both"/>
        <w:rPr>
          <w:rFonts w:ascii="Perpetua" w:hAnsi="Perpetua"/>
          <w:sz w:val="26"/>
          <w:szCs w:val="26"/>
        </w:rPr>
      </w:pPr>
      <w:r>
        <w:rPr>
          <w:rFonts w:ascii="Perpetua" w:hAnsi="Perpetua"/>
          <w:sz w:val="26"/>
          <w:szCs w:val="26"/>
        </w:rPr>
        <w:t>Along with the abovementioned, a very crucial issue, such as, depositors’ information and awareness on the benefits and limitations of the deposit insurance scheme as well as their knowledge of the compensation procedures, was paid particular attention during the verification process.</w:t>
      </w:r>
      <w:r w:rsidR="00C40EC0" w:rsidRPr="00C40EC0">
        <w:rPr>
          <w:rFonts w:ascii="Perpetua" w:hAnsi="Perpetua"/>
          <w:sz w:val="26"/>
          <w:szCs w:val="26"/>
        </w:rPr>
        <w:t xml:space="preserve"> </w:t>
      </w:r>
    </w:p>
    <w:p w14:paraId="01301DED" w14:textId="77777777" w:rsidR="003D0262" w:rsidRPr="00C40EC0" w:rsidRDefault="003D0262" w:rsidP="00647478">
      <w:pPr>
        <w:spacing w:after="0"/>
        <w:jc w:val="both"/>
        <w:rPr>
          <w:rFonts w:ascii="Perpetua" w:hAnsi="Perpetua"/>
          <w:sz w:val="26"/>
          <w:szCs w:val="26"/>
        </w:rPr>
        <w:sectPr w:rsidR="003D0262" w:rsidRPr="00C40EC0" w:rsidSect="004515BD">
          <w:pgSz w:w="12240" w:h="15840"/>
          <w:pgMar w:top="1440" w:right="1440" w:bottom="1440" w:left="1440" w:header="720" w:footer="720" w:gutter="0"/>
          <w:cols w:space="720"/>
          <w:docGrid w:linePitch="360"/>
        </w:sectPr>
      </w:pPr>
    </w:p>
    <w:p w14:paraId="2DF8CBD0" w14:textId="77777777" w:rsidR="003D0262" w:rsidRPr="001A234F" w:rsidRDefault="003D0262" w:rsidP="003D0262">
      <w:pPr>
        <w:pStyle w:val="Heading1"/>
        <w:spacing w:after="240"/>
        <w:rPr>
          <w:rFonts w:ascii="Perpetua" w:hAnsi="Perpetua"/>
          <w:b/>
          <w:color w:val="auto"/>
          <w:sz w:val="30"/>
          <w:szCs w:val="30"/>
        </w:rPr>
      </w:pPr>
      <w:bookmarkStart w:id="60" w:name="_Toc487804076"/>
      <w:r w:rsidRPr="001A234F">
        <w:rPr>
          <w:rFonts w:ascii="Perpetua" w:hAnsi="Perpetua"/>
          <w:b/>
          <w:color w:val="auto"/>
          <w:sz w:val="30"/>
          <w:szCs w:val="30"/>
        </w:rPr>
        <w:lastRenderedPageBreak/>
        <w:t xml:space="preserve">Section 4 - </w:t>
      </w:r>
      <w:r w:rsidRPr="001A234F">
        <w:rPr>
          <w:rFonts w:ascii="Perpetua" w:hAnsi="Perpetua"/>
          <w:b/>
          <w:color w:val="auto"/>
          <w:sz w:val="30"/>
          <w:szCs w:val="30"/>
          <w:u w:val="thick" w:color="FF0000"/>
        </w:rPr>
        <w:t>Budget and Financial resources available to the Agency</w:t>
      </w:r>
      <w:bookmarkEnd w:id="60"/>
    </w:p>
    <w:p w14:paraId="3CAFC5AD" w14:textId="77777777" w:rsidR="003D0262" w:rsidRPr="00443A22" w:rsidRDefault="003D0262" w:rsidP="003D0262">
      <w:pPr>
        <w:pStyle w:val="Heading2"/>
        <w:spacing w:after="240"/>
        <w:rPr>
          <w:rStyle w:val="shorttext"/>
          <w:rFonts w:ascii="Perpetua" w:hAnsi="Perpetua" w:cs="Arial"/>
          <w:color w:val="FF0000"/>
          <w:sz w:val="28"/>
        </w:rPr>
      </w:pPr>
      <w:bookmarkStart w:id="61" w:name="_Toc487804077"/>
      <w:r w:rsidRPr="00443A22">
        <w:rPr>
          <w:rStyle w:val="shorttext"/>
          <w:rFonts w:ascii="Perpetua" w:hAnsi="Perpetua" w:cs="Arial"/>
          <w:color w:val="FF0000"/>
          <w:sz w:val="28"/>
        </w:rPr>
        <w:t>4.1 Performance of the Deposit Insurance Fund</w:t>
      </w:r>
      <w:bookmarkEnd w:id="61"/>
    </w:p>
    <w:p w14:paraId="3E3F5E65" w14:textId="77777777" w:rsidR="003D0262" w:rsidRPr="001A234F" w:rsidRDefault="003D0262" w:rsidP="003D0262">
      <w:pPr>
        <w:spacing w:before="240"/>
        <w:jc w:val="both"/>
        <w:rPr>
          <w:rFonts w:ascii="Perpetua" w:hAnsi="Perpetua"/>
          <w:sz w:val="26"/>
          <w:szCs w:val="26"/>
          <w:highlight w:val="yellow"/>
        </w:rPr>
      </w:pPr>
      <w:r w:rsidRPr="00443A22">
        <w:rPr>
          <w:rFonts w:ascii="Perpetua" w:hAnsi="Perpetua" w:cs="Arial"/>
          <w:color w:val="222222"/>
          <w:sz w:val="26"/>
          <w:szCs w:val="26"/>
        </w:rPr>
        <w:t xml:space="preserve">The accounting value of the deposit insurance fund in banks on 31 December 2015 </w:t>
      </w:r>
      <w:r w:rsidRPr="00443A22">
        <w:rPr>
          <w:rFonts w:ascii="Perpetua" w:hAnsi="Perpetua" w:cs="Arial"/>
          <w:sz w:val="26"/>
          <w:szCs w:val="26"/>
        </w:rPr>
        <w:t xml:space="preserve">which consist on the </w:t>
      </w:r>
      <w:r w:rsidRPr="00443A22">
        <w:rPr>
          <w:rFonts w:ascii="Perpetua" w:hAnsi="Perpetua" w:cs="Arial"/>
          <w:color w:val="222222"/>
          <w:sz w:val="26"/>
          <w:szCs w:val="26"/>
        </w:rPr>
        <w:t>initial fund of 400 million ALL and accumulated profits over the years reached the value of 27.67 billion ALL. In comparison to the previous year, this fund has increased by</w:t>
      </w:r>
      <w:r w:rsidRPr="001A234F">
        <w:rPr>
          <w:rFonts w:ascii="Perpetua" w:hAnsi="Perpetua" w:cs="Arial"/>
          <w:color w:val="222222"/>
          <w:sz w:val="26"/>
          <w:szCs w:val="26"/>
        </w:rPr>
        <w:t xml:space="preserve"> 3.62 billion ALL or 15.1%. The chart below shows the trend of the deposit insurance fund for the period 2009 - 2015. During this period, the insurance fund has increased 249.8% from 7.91 billion ALL at the end of 2009 to 27.67 billion ALL at the end of 2015.</w:t>
      </w:r>
    </w:p>
    <w:p w14:paraId="20151113" w14:textId="77777777" w:rsidR="003D0262" w:rsidRPr="001A234F" w:rsidRDefault="003D0262" w:rsidP="003D0262">
      <w:pPr>
        <w:jc w:val="right"/>
        <w:rPr>
          <w:rFonts w:ascii="Perpetua" w:hAnsi="Perpetua" w:cs="Calibri"/>
          <w:i/>
          <w:color w:val="FF0000"/>
          <w:szCs w:val="26"/>
        </w:rPr>
      </w:pPr>
    </w:p>
    <w:p w14:paraId="633CCB36" w14:textId="77777777" w:rsidR="003D0262" w:rsidRPr="001A234F" w:rsidRDefault="003D0262" w:rsidP="003D0262">
      <w:pPr>
        <w:jc w:val="right"/>
        <w:rPr>
          <w:rFonts w:ascii="Perpetua" w:hAnsi="Perpetua" w:cs="Calibri"/>
          <w:i/>
          <w:color w:val="FF0000"/>
          <w:szCs w:val="26"/>
        </w:rPr>
      </w:pPr>
      <w:r w:rsidRPr="001A234F">
        <w:rPr>
          <w:rFonts w:ascii="Perpetua" w:hAnsi="Perpetua" w:cs="Calibri"/>
          <w:i/>
          <w:color w:val="FF0000"/>
          <w:szCs w:val="26"/>
        </w:rPr>
        <w:t>Chart 14. Deposit insurance fund (in thousands ALL)</w:t>
      </w:r>
    </w:p>
    <w:p w14:paraId="2E4CB122" w14:textId="77777777" w:rsidR="003D0262" w:rsidRPr="001A234F" w:rsidRDefault="003D0262" w:rsidP="003D0262">
      <w:pPr>
        <w:jc w:val="both"/>
        <w:rPr>
          <w:b/>
          <w:color w:val="FF0000"/>
          <w:sz w:val="24"/>
          <w:szCs w:val="24"/>
          <w:highlight w:val="yellow"/>
        </w:rPr>
      </w:pPr>
      <w:r w:rsidRPr="001A234F">
        <w:rPr>
          <w:noProof/>
          <w:sz w:val="24"/>
          <w:szCs w:val="24"/>
          <w:lang w:eastAsia="en-GB"/>
        </w:rPr>
        <w:drawing>
          <wp:inline distT="0" distB="0" distL="0" distR="0" wp14:anchorId="4EA035AA" wp14:editId="7337A9E0">
            <wp:extent cx="5647765"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342903" w14:textId="77777777" w:rsidR="003D0262" w:rsidRDefault="003D0262" w:rsidP="003D0262">
      <w:pPr>
        <w:jc w:val="both"/>
        <w:rPr>
          <w:rFonts w:ascii="Perpetua" w:hAnsi="Perpetua" w:cs="Arial"/>
          <w:color w:val="222222"/>
          <w:sz w:val="26"/>
          <w:szCs w:val="26"/>
        </w:rPr>
      </w:pPr>
    </w:p>
    <w:p w14:paraId="1F1632C1" w14:textId="77777777" w:rsidR="003D0262" w:rsidRDefault="003D0262" w:rsidP="003D0262">
      <w:pPr>
        <w:jc w:val="both"/>
        <w:rPr>
          <w:rFonts w:ascii="Perpetua" w:hAnsi="Perpetua" w:cs="Arial"/>
          <w:color w:val="222222"/>
          <w:sz w:val="26"/>
          <w:szCs w:val="26"/>
        </w:rPr>
        <w:sectPr w:rsidR="003D0262" w:rsidSect="006E7E78">
          <w:pgSz w:w="11906" w:h="16838"/>
          <w:pgMar w:top="851" w:right="1440" w:bottom="1440" w:left="1440" w:header="708" w:footer="708" w:gutter="0"/>
          <w:cols w:space="708"/>
          <w:docGrid w:linePitch="360"/>
        </w:sectPr>
      </w:pPr>
      <w:r w:rsidRPr="001A234F">
        <w:rPr>
          <w:rFonts w:ascii="Perpetua" w:hAnsi="Perpetua" w:cs="Arial"/>
          <w:color w:val="222222"/>
          <w:sz w:val="26"/>
          <w:szCs w:val="26"/>
        </w:rPr>
        <w:t xml:space="preserve">In accordance with the Law "On Deposit Insurance", in January 2015, the Agency received from the State Budget 76 million ALL in value as an initial fund for deposit insurance in SCA. This fund, contribution of the State Budget, provides an initial financial basis of the deposit </w:t>
      </w:r>
      <w:r w:rsidRPr="00443A22">
        <w:rPr>
          <w:rFonts w:ascii="Perpetua" w:hAnsi="Perpetua" w:cs="Arial"/>
          <w:color w:val="222222"/>
          <w:sz w:val="26"/>
          <w:szCs w:val="26"/>
        </w:rPr>
        <w:t>insurance fund in SCA.</w:t>
      </w:r>
    </w:p>
    <w:p w14:paraId="31A5E7B6" w14:textId="77777777" w:rsidR="003D0262" w:rsidRPr="00443A22" w:rsidRDefault="003D0262" w:rsidP="003D0262">
      <w:pPr>
        <w:pStyle w:val="Heading2"/>
        <w:spacing w:after="240"/>
        <w:rPr>
          <w:rStyle w:val="shorttext"/>
          <w:rFonts w:ascii="Perpetua" w:hAnsi="Perpetua"/>
          <w:color w:val="FF0000"/>
          <w:sz w:val="28"/>
        </w:rPr>
      </w:pPr>
      <w:bookmarkStart w:id="62" w:name="_Toc487804078"/>
      <w:r w:rsidRPr="00443A22">
        <w:rPr>
          <w:rFonts w:ascii="Perpetua" w:hAnsi="Perpetua"/>
          <w:color w:val="FF0000"/>
          <w:sz w:val="28"/>
        </w:rPr>
        <w:lastRenderedPageBreak/>
        <w:t>4.2</w:t>
      </w:r>
      <w:r>
        <w:rPr>
          <w:rFonts w:ascii="Perpetua" w:hAnsi="Perpetua"/>
          <w:color w:val="FF0000"/>
          <w:sz w:val="28"/>
        </w:rPr>
        <w:t>.</w:t>
      </w:r>
      <w:r>
        <w:rPr>
          <w:rFonts w:ascii="Perpetua" w:hAnsi="Perpetua"/>
          <w:color w:val="FF0000"/>
          <w:sz w:val="28"/>
        </w:rPr>
        <w:tab/>
      </w:r>
      <w:r w:rsidRPr="00443A22">
        <w:rPr>
          <w:rFonts w:ascii="Perpetua" w:hAnsi="Perpetua"/>
          <w:color w:val="FF0000"/>
          <w:sz w:val="28"/>
        </w:rPr>
        <w:t>Key f</w:t>
      </w:r>
      <w:r w:rsidRPr="00443A22">
        <w:rPr>
          <w:rStyle w:val="shorttext"/>
          <w:rFonts w:ascii="Perpetua" w:hAnsi="Perpetua"/>
          <w:color w:val="FF0000"/>
          <w:sz w:val="28"/>
        </w:rPr>
        <w:t>inancial indicators</w:t>
      </w:r>
      <w:bookmarkEnd w:id="62"/>
    </w:p>
    <w:p w14:paraId="44B7038A" w14:textId="77777777" w:rsidR="003D0262" w:rsidRPr="001A234F" w:rsidRDefault="003D0262" w:rsidP="003D0262">
      <w:pPr>
        <w:jc w:val="both"/>
        <w:rPr>
          <w:rFonts w:ascii="Perpetua" w:hAnsi="Perpetua" w:cs="Arial"/>
          <w:color w:val="222222"/>
          <w:sz w:val="26"/>
          <w:szCs w:val="26"/>
        </w:rPr>
      </w:pPr>
      <w:r w:rsidRPr="00443A22">
        <w:rPr>
          <w:rFonts w:ascii="Perpetua" w:hAnsi="Perpetua" w:cs="Arial"/>
          <w:color w:val="222222"/>
          <w:sz w:val="26"/>
          <w:szCs w:val="26"/>
        </w:rPr>
        <w:t>The Deposit Insurance funds in banks increases or reduces from the net proceeds from the activity of the Agency over the years. The main income that contribute to increased deposit</w:t>
      </w:r>
      <w:r w:rsidRPr="001A234F">
        <w:rPr>
          <w:rFonts w:ascii="Perpetua" w:hAnsi="Perpetua" w:cs="Arial"/>
          <w:color w:val="222222"/>
          <w:sz w:val="26"/>
          <w:szCs w:val="26"/>
        </w:rPr>
        <w:t xml:space="preserve"> insurance fund in the banks are incomes from insurance activities, the annual premium income from insurance and funds management. The chart below is a summary of the main income for the years 2009-2015.</w:t>
      </w:r>
    </w:p>
    <w:p w14:paraId="3C0F977B" w14:textId="77777777" w:rsidR="003D0262" w:rsidRPr="001A234F"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t>The incomes from insurance premiums for 2015 were 2.90 billion ALL or 24.2% higher than in 2014. The incomes from insurance premiums over the period 2009-2015 have been increasing, which is directly related to the growth of insured deposits in the banking system in recent years.</w:t>
      </w:r>
    </w:p>
    <w:p w14:paraId="3D331510" w14:textId="77777777" w:rsidR="003D0262" w:rsidRPr="001A234F" w:rsidRDefault="003D0262" w:rsidP="003D0262">
      <w:pPr>
        <w:jc w:val="right"/>
        <w:rPr>
          <w:rFonts w:ascii="Perpetua" w:hAnsi="Perpetua" w:cs="Calibri"/>
          <w:i/>
          <w:color w:val="FF0000"/>
          <w:szCs w:val="26"/>
        </w:rPr>
      </w:pPr>
      <w:r w:rsidRPr="001A234F">
        <w:rPr>
          <w:rFonts w:ascii="Perpetua" w:hAnsi="Perpetua" w:cs="Calibri"/>
          <w:i/>
          <w:color w:val="FF0000"/>
          <w:szCs w:val="26"/>
        </w:rPr>
        <w:t xml:space="preserve">Chart 15. Insurance premiums in Banks (in thousands </w:t>
      </w:r>
      <w:r>
        <w:rPr>
          <w:rFonts w:ascii="Perpetua" w:hAnsi="Perpetua" w:cs="Calibri"/>
          <w:i/>
          <w:color w:val="FF0000"/>
          <w:szCs w:val="26"/>
        </w:rPr>
        <w:t>ALL</w:t>
      </w:r>
      <w:r w:rsidRPr="001A234F">
        <w:rPr>
          <w:rFonts w:ascii="Perpetua" w:hAnsi="Perpetua" w:cs="Calibri"/>
          <w:i/>
          <w:color w:val="FF0000"/>
          <w:szCs w:val="26"/>
        </w:rPr>
        <w:t>)</w:t>
      </w:r>
    </w:p>
    <w:p w14:paraId="6BBBD64F" w14:textId="77777777" w:rsidR="003D0262" w:rsidRPr="001A234F" w:rsidRDefault="003D0262" w:rsidP="003D0262">
      <w:pPr>
        <w:jc w:val="both"/>
        <w:rPr>
          <w:sz w:val="24"/>
          <w:szCs w:val="24"/>
        </w:rPr>
      </w:pPr>
      <w:r w:rsidRPr="001A234F">
        <w:rPr>
          <w:noProof/>
          <w:sz w:val="24"/>
          <w:szCs w:val="24"/>
          <w:lang w:eastAsia="en-GB"/>
        </w:rPr>
        <w:drawing>
          <wp:inline distT="0" distB="0" distL="0" distR="0" wp14:anchorId="4DCF0D43" wp14:editId="1B3CA666">
            <wp:extent cx="5690795" cy="2829261"/>
            <wp:effectExtent l="0" t="0" r="571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198A30" w14:textId="77777777" w:rsidR="003D0262" w:rsidRPr="001A234F"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t xml:space="preserve">Until the end of 2014, the annual insurance premium was accounted by banks as 0.5% of the arithmetic average of the level of insured deposits at the end of each working day of a three month period for the last year and would be paid by these entities in four equal instalments. The instalments payment made by entities were done no later than the 15th of April, July, October, and January. In accordance with the Law "On deposit insurance", </w:t>
      </w:r>
      <w:r w:rsidRPr="00443A22">
        <w:rPr>
          <w:rFonts w:ascii="Perpetua" w:hAnsi="Perpetua" w:cs="Arial"/>
          <w:color w:val="222222"/>
          <w:sz w:val="26"/>
          <w:szCs w:val="26"/>
        </w:rPr>
        <w:t>starting from 2015 the deposit insurance premium is calculated by banks quarterly and not annually. Banks quarterly insurance premium is calculated as 0.125% of the arithmetic average of the amount</w:t>
      </w:r>
      <w:r w:rsidRPr="001A234F">
        <w:rPr>
          <w:rFonts w:ascii="Perpetua" w:hAnsi="Perpetua" w:cs="Arial"/>
          <w:color w:val="222222"/>
          <w:sz w:val="26"/>
          <w:szCs w:val="26"/>
        </w:rPr>
        <w:t xml:space="preserve"> of insured deposits, which are registered in the bank on the last day of each month of the previous quarter. The quarterly insurance premium for banking institutions has to be paid no later than the 15</w:t>
      </w:r>
      <w:r w:rsidRPr="001A234F">
        <w:rPr>
          <w:rFonts w:ascii="Perpetua" w:hAnsi="Perpetua" w:cs="Arial"/>
          <w:color w:val="222222"/>
          <w:sz w:val="26"/>
          <w:szCs w:val="26"/>
          <w:vertAlign w:val="superscript"/>
        </w:rPr>
        <w:t>th</w:t>
      </w:r>
      <w:r w:rsidRPr="001A234F">
        <w:rPr>
          <w:rFonts w:ascii="Perpetua" w:hAnsi="Perpetua" w:cs="Arial"/>
          <w:color w:val="222222"/>
          <w:sz w:val="26"/>
          <w:szCs w:val="26"/>
        </w:rPr>
        <w:t xml:space="preserve"> of the first month of the quarter which it is paid for.</w:t>
      </w:r>
    </w:p>
    <w:p w14:paraId="0ED72616" w14:textId="77777777" w:rsidR="003D0262" w:rsidRDefault="003D0262" w:rsidP="003D0262">
      <w:pPr>
        <w:jc w:val="both"/>
        <w:rPr>
          <w:rFonts w:ascii="Perpetua" w:hAnsi="Perpetua" w:cs="Arial"/>
          <w:color w:val="222222"/>
          <w:sz w:val="26"/>
          <w:szCs w:val="26"/>
        </w:rPr>
        <w:sectPr w:rsidR="003D0262" w:rsidSect="006E7E78">
          <w:pgSz w:w="11906" w:h="16838"/>
          <w:pgMar w:top="851" w:right="1440" w:bottom="1440" w:left="1440" w:header="708" w:footer="708" w:gutter="0"/>
          <w:cols w:space="708"/>
          <w:docGrid w:linePitch="360"/>
        </w:sectPr>
      </w:pPr>
    </w:p>
    <w:p w14:paraId="6EDCDAE1" w14:textId="77777777" w:rsidR="003D0262" w:rsidRPr="001A234F"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lastRenderedPageBreak/>
        <w:t xml:space="preserve">The incomes from financial assets management of the deposit insurance fund in banks for 2015 were 874 million </w:t>
      </w:r>
      <w:r>
        <w:rPr>
          <w:rFonts w:ascii="Perpetua" w:hAnsi="Perpetua" w:cs="Arial"/>
          <w:color w:val="222222"/>
          <w:sz w:val="26"/>
          <w:szCs w:val="26"/>
        </w:rPr>
        <w:t>ALL</w:t>
      </w:r>
      <w:r w:rsidRPr="001A234F">
        <w:rPr>
          <w:rFonts w:ascii="Perpetua" w:hAnsi="Perpetua" w:cs="Arial"/>
          <w:color w:val="222222"/>
          <w:sz w:val="26"/>
          <w:szCs w:val="26"/>
        </w:rPr>
        <w:t xml:space="preserve"> or 8.73% higher than in 2014. Such incomes over the period 2009-2013 has been growing, which relates directly to the expansion of funds under administration and interest rates of securities. The incomes from management of funds for 2014-2015 are influenced by the dynamics of the interest rates of Albanian government securities who have been decreasing since 2013. In 2015, the performance of incomes from funds management was positively affected by the increase of </w:t>
      </w:r>
      <w:r w:rsidRPr="001A234F">
        <w:rPr>
          <w:rFonts w:ascii="Perpetua" w:hAnsi="Perpetua" w:cs="Arial"/>
          <w:color w:val="222222"/>
          <w:sz w:val="26"/>
          <w:szCs w:val="26"/>
          <w:highlight w:val="yellow"/>
        </w:rPr>
        <w:t>allowed maturity</w:t>
      </w:r>
      <w:r w:rsidRPr="001A234F">
        <w:rPr>
          <w:rFonts w:ascii="Perpetua" w:hAnsi="Perpetua" w:cs="Arial"/>
          <w:color w:val="222222"/>
          <w:sz w:val="26"/>
          <w:szCs w:val="26"/>
        </w:rPr>
        <w:t xml:space="preserve"> for these investments. This change was implemented in the second half of 2014 from 12 months to 24.</w:t>
      </w:r>
    </w:p>
    <w:p w14:paraId="29C5CF1E" w14:textId="77777777" w:rsidR="003D0262" w:rsidRPr="001A234F" w:rsidRDefault="003D0262" w:rsidP="003D0262">
      <w:pPr>
        <w:rPr>
          <w:rFonts w:cs="Arial"/>
          <w:color w:val="222222"/>
          <w:sz w:val="24"/>
          <w:szCs w:val="24"/>
        </w:rPr>
      </w:pPr>
    </w:p>
    <w:p w14:paraId="24A78299" w14:textId="77777777" w:rsidR="003D0262" w:rsidRPr="001A234F" w:rsidRDefault="003D0262" w:rsidP="003D0262">
      <w:pPr>
        <w:jc w:val="right"/>
        <w:rPr>
          <w:rFonts w:ascii="Perpetua" w:hAnsi="Perpetua" w:cs="Calibri"/>
          <w:i/>
          <w:color w:val="FF0000"/>
          <w:szCs w:val="26"/>
          <w:lang w:val="sq-AL"/>
        </w:rPr>
      </w:pPr>
      <w:r w:rsidRPr="001A234F">
        <w:rPr>
          <w:rFonts w:ascii="Perpetua" w:hAnsi="Perpetua" w:cs="Calibri"/>
          <w:i/>
          <w:color w:val="FF0000"/>
          <w:szCs w:val="26"/>
          <w:lang w:val="sq-AL"/>
        </w:rPr>
        <w:t>Chart16. Incomes from the administration of financial assets from Deposit Insurance Funds (in thousands ALL)</w:t>
      </w:r>
    </w:p>
    <w:p w14:paraId="4949F31C" w14:textId="77777777" w:rsidR="003D0262" w:rsidRPr="001A234F" w:rsidRDefault="003D0262" w:rsidP="003D0262">
      <w:pPr>
        <w:jc w:val="both"/>
        <w:rPr>
          <w:b/>
          <w:color w:val="FF0000"/>
          <w:sz w:val="24"/>
          <w:szCs w:val="24"/>
          <w:highlight w:val="yellow"/>
        </w:rPr>
      </w:pPr>
      <w:r w:rsidRPr="001A234F">
        <w:rPr>
          <w:noProof/>
          <w:sz w:val="24"/>
          <w:szCs w:val="24"/>
          <w:lang w:eastAsia="en-GB"/>
        </w:rPr>
        <w:drawing>
          <wp:inline distT="0" distB="0" distL="0" distR="0" wp14:anchorId="0A38C0A8" wp14:editId="3E439977">
            <wp:extent cx="5755341" cy="3119718"/>
            <wp:effectExtent l="0" t="0" r="0" b="50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00569C" w14:textId="77777777" w:rsidR="003D0262" w:rsidRPr="001A234F" w:rsidRDefault="003D0262" w:rsidP="003D0262">
      <w:pPr>
        <w:jc w:val="both"/>
        <w:rPr>
          <w:b/>
          <w:color w:val="FF0000"/>
          <w:sz w:val="24"/>
          <w:szCs w:val="24"/>
        </w:rPr>
      </w:pPr>
    </w:p>
    <w:p w14:paraId="6907658D" w14:textId="77777777" w:rsidR="003D0262" w:rsidRPr="001A234F" w:rsidRDefault="003D0262" w:rsidP="003D0262">
      <w:pPr>
        <w:pStyle w:val="Heading2"/>
        <w:spacing w:after="240"/>
        <w:rPr>
          <w:rFonts w:ascii="Perpetua" w:hAnsi="Perpetua"/>
          <w:color w:val="FF0000"/>
          <w:sz w:val="28"/>
        </w:rPr>
      </w:pPr>
      <w:bookmarkStart w:id="63" w:name="_Toc487804079"/>
      <w:r w:rsidRPr="001A234F">
        <w:rPr>
          <w:rFonts w:ascii="Perpetua" w:hAnsi="Perpetua"/>
          <w:color w:val="FF0000"/>
          <w:sz w:val="28"/>
        </w:rPr>
        <w:t xml:space="preserve">4.3. </w:t>
      </w:r>
      <w:r>
        <w:rPr>
          <w:rFonts w:ascii="Perpetua" w:hAnsi="Perpetua"/>
          <w:color w:val="FF0000"/>
          <w:sz w:val="28"/>
        </w:rPr>
        <w:t>C</w:t>
      </w:r>
      <w:r w:rsidRPr="001A234F">
        <w:rPr>
          <w:rFonts w:ascii="Perpetua" w:hAnsi="Perpetua"/>
          <w:color w:val="FF0000"/>
          <w:sz w:val="28"/>
        </w:rPr>
        <w:t>overage ratio of insured deposits in banks</w:t>
      </w:r>
      <w:bookmarkEnd w:id="63"/>
    </w:p>
    <w:p w14:paraId="5BCFCBFB" w14:textId="77777777" w:rsidR="003D0262"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t xml:space="preserve">At the end of 2015, the insured deposits in banking system were 591.1 billion </w:t>
      </w:r>
      <w:r>
        <w:rPr>
          <w:rFonts w:ascii="Perpetua" w:hAnsi="Perpetua" w:cs="Arial"/>
          <w:color w:val="222222"/>
          <w:sz w:val="26"/>
          <w:szCs w:val="26"/>
        </w:rPr>
        <w:t>ALL</w:t>
      </w:r>
      <w:r w:rsidRPr="001A234F">
        <w:rPr>
          <w:rFonts w:ascii="Perpetua" w:hAnsi="Perpetua" w:cs="Arial"/>
          <w:color w:val="222222"/>
          <w:sz w:val="26"/>
          <w:szCs w:val="26"/>
        </w:rPr>
        <w:t xml:space="preserve"> or 3.6% higher than a year ago. At the end of 2014, the insured deposits in banking system were 570.5 billion </w:t>
      </w:r>
      <w:r>
        <w:rPr>
          <w:rFonts w:ascii="Perpetua" w:hAnsi="Perpetua" w:cs="Arial"/>
          <w:color w:val="222222"/>
          <w:sz w:val="26"/>
          <w:szCs w:val="26"/>
        </w:rPr>
        <w:t>ALL</w:t>
      </w:r>
      <w:r w:rsidRPr="001A234F">
        <w:rPr>
          <w:rFonts w:ascii="Perpetua" w:hAnsi="Perpetua" w:cs="Arial"/>
          <w:color w:val="222222"/>
          <w:sz w:val="26"/>
          <w:szCs w:val="26"/>
        </w:rPr>
        <w:t xml:space="preserve"> or 2.4% higher than a year ago.</w:t>
      </w:r>
    </w:p>
    <w:p w14:paraId="4DD13C64" w14:textId="77777777" w:rsidR="003D0262" w:rsidRDefault="003D0262" w:rsidP="003D0262">
      <w:pPr>
        <w:jc w:val="both"/>
        <w:rPr>
          <w:rFonts w:ascii="Perpetua" w:hAnsi="Perpetua" w:cs="Arial"/>
          <w:color w:val="222222"/>
          <w:sz w:val="26"/>
          <w:szCs w:val="26"/>
        </w:rPr>
      </w:pPr>
    </w:p>
    <w:p w14:paraId="6F06AADB" w14:textId="77777777" w:rsidR="003D0262" w:rsidRDefault="003D0262" w:rsidP="003D0262">
      <w:pPr>
        <w:jc w:val="both"/>
        <w:rPr>
          <w:rFonts w:ascii="Perpetua" w:hAnsi="Perpetua" w:cs="Arial"/>
          <w:color w:val="222222"/>
          <w:sz w:val="26"/>
          <w:szCs w:val="26"/>
        </w:rPr>
      </w:pPr>
    </w:p>
    <w:p w14:paraId="6DD58E4A" w14:textId="77777777" w:rsidR="003D0262" w:rsidRDefault="003D0262" w:rsidP="003D0262">
      <w:pPr>
        <w:jc w:val="both"/>
        <w:rPr>
          <w:rFonts w:ascii="Perpetua" w:hAnsi="Perpetua" w:cs="Arial"/>
          <w:color w:val="222222"/>
          <w:sz w:val="26"/>
          <w:szCs w:val="26"/>
        </w:rPr>
      </w:pPr>
    </w:p>
    <w:p w14:paraId="34C09B1A" w14:textId="77777777" w:rsidR="003D0262" w:rsidRDefault="003D0262" w:rsidP="003D0262">
      <w:pPr>
        <w:jc w:val="both"/>
        <w:rPr>
          <w:rFonts w:ascii="Perpetua" w:hAnsi="Perpetua" w:cs="Arial"/>
          <w:color w:val="222222"/>
          <w:sz w:val="26"/>
          <w:szCs w:val="26"/>
        </w:rPr>
      </w:pPr>
    </w:p>
    <w:p w14:paraId="5C0B15C7" w14:textId="77777777" w:rsidR="003D0262" w:rsidRDefault="003D0262" w:rsidP="003D0262">
      <w:pPr>
        <w:jc w:val="both"/>
        <w:rPr>
          <w:rFonts w:ascii="Perpetua" w:hAnsi="Perpetua" w:cs="Arial"/>
          <w:color w:val="222222"/>
          <w:sz w:val="26"/>
          <w:szCs w:val="26"/>
        </w:rPr>
      </w:pPr>
    </w:p>
    <w:p w14:paraId="304F4B43" w14:textId="77777777" w:rsidR="003D0262" w:rsidRDefault="003D0262" w:rsidP="003D0262">
      <w:pPr>
        <w:jc w:val="both"/>
        <w:rPr>
          <w:rFonts w:ascii="Perpetua" w:hAnsi="Perpetua" w:cs="Arial"/>
          <w:color w:val="222222"/>
          <w:sz w:val="26"/>
          <w:szCs w:val="26"/>
        </w:rPr>
      </w:pPr>
    </w:p>
    <w:p w14:paraId="6D070641" w14:textId="77777777" w:rsidR="003D0262" w:rsidRDefault="003D0262" w:rsidP="003D0262">
      <w:pPr>
        <w:jc w:val="both"/>
        <w:rPr>
          <w:rFonts w:ascii="Perpetua" w:hAnsi="Perpetua" w:cs="Arial"/>
          <w:color w:val="222222"/>
          <w:sz w:val="26"/>
          <w:szCs w:val="26"/>
        </w:rPr>
      </w:pPr>
    </w:p>
    <w:p w14:paraId="4187DF4E" w14:textId="77777777" w:rsidR="003D0262" w:rsidRPr="001A234F"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t>The chart below shows a summary of insured deposits performance in banking system for the years 2009-2015.</w:t>
      </w:r>
    </w:p>
    <w:p w14:paraId="148E7833" w14:textId="77777777" w:rsidR="003D0262" w:rsidRPr="001A234F" w:rsidRDefault="003D0262" w:rsidP="003D0262">
      <w:pPr>
        <w:jc w:val="right"/>
        <w:rPr>
          <w:rFonts w:cs="Calibri"/>
          <w:i/>
          <w:color w:val="FF0000"/>
          <w:sz w:val="24"/>
          <w:szCs w:val="24"/>
        </w:rPr>
      </w:pPr>
    </w:p>
    <w:p w14:paraId="38A5ED3B" w14:textId="77777777" w:rsidR="003D0262" w:rsidRPr="001A234F" w:rsidRDefault="003D0262" w:rsidP="003D0262">
      <w:pPr>
        <w:jc w:val="right"/>
        <w:rPr>
          <w:rFonts w:ascii="Perpetua" w:hAnsi="Perpetua" w:cs="Calibri"/>
          <w:i/>
          <w:color w:val="FF0000"/>
          <w:szCs w:val="26"/>
          <w:lang w:val="sq-AL"/>
        </w:rPr>
      </w:pPr>
      <w:r w:rsidRPr="001A234F">
        <w:rPr>
          <w:rFonts w:ascii="Perpetua" w:hAnsi="Perpetua" w:cs="Calibri"/>
          <w:i/>
          <w:color w:val="FF0000"/>
          <w:szCs w:val="26"/>
          <w:lang w:val="sq-AL"/>
        </w:rPr>
        <w:t>Chart 17. Insured deposits in banks (in thousands ALL)</w:t>
      </w:r>
    </w:p>
    <w:p w14:paraId="508ACCD2" w14:textId="77777777" w:rsidR="003D0262" w:rsidRPr="001A234F" w:rsidRDefault="003D0262" w:rsidP="003D0262">
      <w:pPr>
        <w:jc w:val="both"/>
        <w:rPr>
          <w:b/>
          <w:color w:val="FF0000"/>
          <w:sz w:val="24"/>
          <w:szCs w:val="24"/>
          <w:highlight w:val="yellow"/>
        </w:rPr>
      </w:pPr>
      <w:r w:rsidRPr="001A234F">
        <w:rPr>
          <w:noProof/>
          <w:sz w:val="24"/>
          <w:szCs w:val="24"/>
          <w:lang w:eastAsia="en-GB"/>
        </w:rPr>
        <w:drawing>
          <wp:inline distT="0" distB="0" distL="0" distR="0" wp14:anchorId="4263390E" wp14:editId="7390AB38">
            <wp:extent cx="5680038" cy="2624866"/>
            <wp:effectExtent l="0" t="0" r="0" b="44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E06CB4" w14:textId="77777777" w:rsidR="003D0262" w:rsidRDefault="003D0262" w:rsidP="003D0262">
      <w:pPr>
        <w:jc w:val="both"/>
        <w:rPr>
          <w:rFonts w:ascii="Perpetua" w:hAnsi="Perpetua" w:cs="Arial"/>
          <w:color w:val="222222"/>
          <w:sz w:val="26"/>
          <w:szCs w:val="26"/>
        </w:rPr>
      </w:pPr>
      <w:r w:rsidRPr="00443A22">
        <w:rPr>
          <w:rFonts w:ascii="Perpetua" w:hAnsi="Perpetua" w:cs="Arial"/>
          <w:color w:val="222222"/>
          <w:sz w:val="26"/>
          <w:szCs w:val="26"/>
        </w:rPr>
        <w:t>The steady growth of the deposit insurance fund in banks and the performance of insured deposits in banking system during the period 2009 - 2015 have led to a continuous increase of the coverage ratio over the years. At the end of 2015, the coverage ratio, calculated as a percentage of the deposit insurance fund in banks compared with insured deposits, was 4.68%.</w:t>
      </w:r>
      <w:r w:rsidRPr="001A234F">
        <w:rPr>
          <w:rFonts w:ascii="Perpetua" w:hAnsi="Perpetua" w:cs="Arial"/>
          <w:color w:val="222222"/>
          <w:sz w:val="26"/>
          <w:szCs w:val="26"/>
        </w:rPr>
        <w:t xml:space="preserve"> The chart below is a summary of the coverage ratio during the years 2009-2015.</w:t>
      </w:r>
    </w:p>
    <w:p w14:paraId="77B71C1D" w14:textId="77777777" w:rsidR="003D0262" w:rsidRPr="001A234F" w:rsidRDefault="003D0262" w:rsidP="003D0262">
      <w:pPr>
        <w:jc w:val="right"/>
        <w:rPr>
          <w:rFonts w:ascii="Perpetua" w:hAnsi="Perpetua" w:cs="Arial"/>
          <w:color w:val="222222"/>
          <w:sz w:val="26"/>
          <w:szCs w:val="26"/>
        </w:rPr>
      </w:pPr>
      <w:r w:rsidRPr="001A234F">
        <w:rPr>
          <w:rFonts w:ascii="Perpetua" w:hAnsi="Perpetua" w:cs="Calibri"/>
          <w:i/>
          <w:color w:val="FF0000"/>
          <w:szCs w:val="26"/>
          <w:lang w:val="sq-AL"/>
        </w:rPr>
        <w:t>Chart 18. Coverage ratio of insured deposits in banks</w:t>
      </w:r>
    </w:p>
    <w:p w14:paraId="46BE85F0" w14:textId="77777777" w:rsidR="003D0262" w:rsidRPr="001A234F" w:rsidRDefault="003D0262" w:rsidP="003D0262">
      <w:pPr>
        <w:jc w:val="right"/>
        <w:rPr>
          <w:rFonts w:ascii="Perpetua" w:hAnsi="Perpetua" w:cs="Calibri"/>
          <w:i/>
          <w:color w:val="FF0000"/>
          <w:szCs w:val="26"/>
          <w:lang w:val="sq-AL"/>
        </w:rPr>
      </w:pPr>
      <w:r w:rsidRPr="001A234F">
        <w:rPr>
          <w:rFonts w:ascii="Perpetua" w:hAnsi="Perpetua" w:cs="Calibri"/>
          <w:i/>
          <w:noProof/>
          <w:color w:val="FF0000"/>
          <w:szCs w:val="26"/>
          <w:lang w:eastAsia="en-GB"/>
        </w:rPr>
        <w:lastRenderedPageBreak/>
        <w:drawing>
          <wp:anchor distT="0" distB="0" distL="114300" distR="114300" simplePos="0" relativeHeight="251662336" behindDoc="0" locked="0" layoutInCell="1" allowOverlap="1" wp14:anchorId="10057B15" wp14:editId="3D4F924C">
            <wp:simplePos x="0" y="0"/>
            <wp:positionH relativeFrom="margin">
              <wp:posOffset>71755</wp:posOffset>
            </wp:positionH>
            <wp:positionV relativeFrom="paragraph">
              <wp:posOffset>276860</wp:posOffset>
            </wp:positionV>
            <wp:extent cx="5726430" cy="2526030"/>
            <wp:effectExtent l="0" t="0" r="7620" b="762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16251657" w14:textId="77777777" w:rsidR="003D0262" w:rsidRPr="001A234F" w:rsidRDefault="003D0262" w:rsidP="003D0262">
      <w:pPr>
        <w:jc w:val="right"/>
        <w:rPr>
          <w:rFonts w:ascii="Perpetua" w:hAnsi="Perpetua" w:cs="Calibri"/>
          <w:i/>
          <w:color w:val="FF0000"/>
          <w:szCs w:val="26"/>
          <w:lang w:val="sq-AL"/>
        </w:rPr>
        <w:sectPr w:rsidR="003D0262" w:rsidRPr="001A234F" w:rsidSect="006E7E78">
          <w:pgSz w:w="11906" w:h="16838"/>
          <w:pgMar w:top="851" w:right="1440" w:bottom="1440" w:left="1440" w:header="708" w:footer="708" w:gutter="0"/>
          <w:cols w:space="708"/>
          <w:docGrid w:linePitch="360"/>
        </w:sectPr>
      </w:pPr>
    </w:p>
    <w:p w14:paraId="27D6CC64" w14:textId="77777777" w:rsidR="003D0262" w:rsidRPr="007421AF" w:rsidRDefault="003D0262" w:rsidP="003D0262">
      <w:pPr>
        <w:pStyle w:val="Heading2"/>
        <w:spacing w:after="240"/>
        <w:rPr>
          <w:rFonts w:ascii="Perpetua" w:hAnsi="Perpetua"/>
          <w:color w:val="FF0000"/>
          <w:sz w:val="28"/>
        </w:rPr>
      </w:pPr>
      <w:bookmarkStart w:id="64" w:name="_Toc487804080"/>
      <w:r w:rsidRPr="007421AF">
        <w:rPr>
          <w:rFonts w:ascii="Perpetua" w:hAnsi="Perpetua"/>
          <w:color w:val="FF0000"/>
          <w:sz w:val="28"/>
        </w:rPr>
        <w:lastRenderedPageBreak/>
        <w:t>4.4. Financial assets management</w:t>
      </w:r>
      <w:bookmarkEnd w:id="64"/>
    </w:p>
    <w:p w14:paraId="766BE86C" w14:textId="77777777" w:rsidR="003D0262" w:rsidRPr="001A234F" w:rsidRDefault="003D0262" w:rsidP="003D0262">
      <w:pPr>
        <w:jc w:val="both"/>
        <w:rPr>
          <w:rFonts w:ascii="Perpetua" w:hAnsi="Perpetua" w:cs="Arial"/>
          <w:color w:val="222222"/>
          <w:sz w:val="26"/>
          <w:szCs w:val="26"/>
        </w:rPr>
      </w:pPr>
      <w:r w:rsidRPr="00716A29">
        <w:rPr>
          <w:rFonts w:ascii="Perpetua" w:hAnsi="Perpetua" w:cs="Arial"/>
          <w:color w:val="222222"/>
          <w:sz w:val="26"/>
          <w:szCs w:val="26"/>
        </w:rPr>
        <w:t>As per December 31, 2015, the Agency’s financial assets evaluated under the net - booked value of ALL 27.64</w:t>
      </w:r>
      <w:r>
        <w:rPr>
          <w:rFonts w:ascii="Perpetua" w:hAnsi="Perpetua" w:cs="Arial"/>
          <w:color w:val="222222"/>
          <w:sz w:val="26"/>
          <w:szCs w:val="26"/>
        </w:rPr>
        <w:t xml:space="preserve"> billion</w:t>
      </w:r>
      <w:r w:rsidRPr="00716A29">
        <w:rPr>
          <w:rFonts w:ascii="Perpetua" w:hAnsi="Perpetua" w:cs="Arial"/>
          <w:color w:val="222222"/>
          <w:sz w:val="26"/>
          <w:szCs w:val="26"/>
        </w:rPr>
        <w:t>, are invested mostly in Albanian Government securities.</w:t>
      </w:r>
      <w:r w:rsidRPr="001A234F">
        <w:rPr>
          <w:rFonts w:ascii="Perpetua" w:hAnsi="Perpetua" w:cs="Arial"/>
          <w:color w:val="222222"/>
          <w:sz w:val="26"/>
          <w:szCs w:val="26"/>
        </w:rPr>
        <w:t xml:space="preserve"> </w:t>
      </w:r>
      <w:r w:rsidRPr="00716A29">
        <w:rPr>
          <w:rFonts w:ascii="Perpetua" w:hAnsi="Perpetua" w:cs="Arial"/>
          <w:color w:val="222222"/>
          <w:sz w:val="26"/>
          <w:szCs w:val="26"/>
        </w:rPr>
        <w:t xml:space="preserve">The Agency has invested certain amount </w:t>
      </w:r>
      <w:r>
        <w:rPr>
          <w:rFonts w:ascii="Perpetua" w:hAnsi="Perpetua" w:cs="Arial"/>
          <w:color w:val="222222"/>
          <w:sz w:val="26"/>
          <w:szCs w:val="26"/>
        </w:rPr>
        <w:t>of its assets in USA securities</w:t>
      </w:r>
      <w:r w:rsidRPr="001A234F">
        <w:rPr>
          <w:rFonts w:ascii="Perpetua" w:hAnsi="Perpetua" w:cs="Arial"/>
          <w:color w:val="222222"/>
          <w:sz w:val="26"/>
          <w:szCs w:val="26"/>
        </w:rPr>
        <w:t>.</w:t>
      </w:r>
      <w:r>
        <w:rPr>
          <w:rFonts w:ascii="Perpetua" w:hAnsi="Perpetua" w:cs="Arial"/>
          <w:color w:val="222222"/>
          <w:sz w:val="26"/>
          <w:szCs w:val="26"/>
        </w:rPr>
        <w:t xml:space="preserve"> Aiming to effectively manage its financial assets and to guarantee liquid assets at any time</w:t>
      </w:r>
      <w:r w:rsidRPr="001A234F">
        <w:rPr>
          <w:rFonts w:ascii="Perpetua" w:hAnsi="Perpetua" w:cs="Arial"/>
          <w:color w:val="222222"/>
          <w:sz w:val="26"/>
          <w:szCs w:val="26"/>
        </w:rPr>
        <w:t xml:space="preserve">, the Agency has </w:t>
      </w:r>
      <w:r>
        <w:rPr>
          <w:rFonts w:ascii="Perpetua" w:hAnsi="Perpetua" w:cs="Arial"/>
          <w:color w:val="222222"/>
          <w:sz w:val="26"/>
          <w:szCs w:val="26"/>
        </w:rPr>
        <w:t xml:space="preserve">placed </w:t>
      </w:r>
      <w:r w:rsidRPr="001A234F">
        <w:rPr>
          <w:rFonts w:ascii="Perpetua" w:hAnsi="Perpetua" w:cs="Arial"/>
          <w:color w:val="222222"/>
          <w:sz w:val="26"/>
          <w:szCs w:val="26"/>
        </w:rPr>
        <w:t xml:space="preserve">some </w:t>
      </w:r>
      <w:r>
        <w:rPr>
          <w:rFonts w:ascii="Perpetua" w:hAnsi="Perpetua" w:cs="Arial"/>
          <w:color w:val="222222"/>
          <w:sz w:val="26"/>
          <w:szCs w:val="26"/>
        </w:rPr>
        <w:t xml:space="preserve">of its </w:t>
      </w:r>
      <w:r w:rsidRPr="001A234F">
        <w:rPr>
          <w:rFonts w:ascii="Perpetua" w:hAnsi="Perpetua" w:cs="Arial"/>
          <w:color w:val="222222"/>
          <w:sz w:val="26"/>
          <w:szCs w:val="26"/>
        </w:rPr>
        <w:t xml:space="preserve">funds </w:t>
      </w:r>
      <w:r>
        <w:rPr>
          <w:rFonts w:ascii="Perpetua" w:hAnsi="Perpetua" w:cs="Arial"/>
          <w:color w:val="222222"/>
          <w:sz w:val="26"/>
          <w:szCs w:val="26"/>
        </w:rPr>
        <w:t>as a</w:t>
      </w:r>
      <w:r w:rsidRPr="001A234F">
        <w:rPr>
          <w:rFonts w:ascii="Perpetua" w:hAnsi="Perpetua" w:cs="Arial"/>
          <w:color w:val="222222"/>
          <w:sz w:val="26"/>
          <w:szCs w:val="26"/>
        </w:rPr>
        <w:t xml:space="preserve"> deposit </w:t>
      </w:r>
      <w:r>
        <w:rPr>
          <w:rFonts w:ascii="Perpetua" w:hAnsi="Perpetua" w:cs="Arial"/>
          <w:color w:val="222222"/>
          <w:sz w:val="26"/>
          <w:szCs w:val="26"/>
        </w:rPr>
        <w:t>in</w:t>
      </w:r>
      <w:r w:rsidRPr="001A234F">
        <w:rPr>
          <w:rFonts w:ascii="Perpetua" w:hAnsi="Perpetua" w:cs="Arial"/>
          <w:color w:val="222222"/>
          <w:sz w:val="26"/>
          <w:szCs w:val="26"/>
        </w:rPr>
        <w:t xml:space="preserve"> the Bank of Albania. The chart below is a summary of Agency’s financial assets according the type of instruments on 31 December 2015.</w:t>
      </w:r>
    </w:p>
    <w:p w14:paraId="24C07E1B" w14:textId="77777777" w:rsidR="003D0262" w:rsidRPr="001A234F" w:rsidRDefault="003D0262" w:rsidP="003D0262">
      <w:pPr>
        <w:jc w:val="right"/>
        <w:rPr>
          <w:rFonts w:cs="Calibri"/>
          <w:i/>
          <w:color w:val="FF0000"/>
          <w:sz w:val="24"/>
          <w:szCs w:val="24"/>
        </w:rPr>
      </w:pPr>
    </w:p>
    <w:p w14:paraId="07B2A9DA" w14:textId="77777777" w:rsidR="003D0262" w:rsidRPr="001A234F" w:rsidRDefault="003D0262" w:rsidP="003D0262">
      <w:pPr>
        <w:jc w:val="right"/>
        <w:rPr>
          <w:rFonts w:cs="Calibri"/>
          <w:i/>
          <w:color w:val="FF0000"/>
          <w:sz w:val="24"/>
          <w:szCs w:val="24"/>
        </w:rPr>
      </w:pPr>
      <w:r w:rsidRPr="007421AF">
        <w:rPr>
          <w:rFonts w:ascii="Perpetua" w:hAnsi="Perpetua" w:cs="Calibri"/>
          <w:i/>
          <w:color w:val="FF0000"/>
        </w:rPr>
        <w:t xml:space="preserve">Chart 19. </w:t>
      </w:r>
      <w:r>
        <w:rPr>
          <w:rFonts w:ascii="Perpetua" w:hAnsi="Perpetua" w:cs="Calibri"/>
          <w:i/>
          <w:color w:val="FF0000"/>
        </w:rPr>
        <w:t>Financing according to financial instruments (securities)</w:t>
      </w:r>
    </w:p>
    <w:p w14:paraId="6C2AD414" w14:textId="77777777" w:rsidR="003D0262" w:rsidRPr="001A234F" w:rsidRDefault="003D0262" w:rsidP="003D0262">
      <w:pPr>
        <w:jc w:val="right"/>
        <w:rPr>
          <w:rFonts w:cs="Calibri"/>
          <w:i/>
          <w:color w:val="FF0000"/>
          <w:sz w:val="24"/>
          <w:szCs w:val="24"/>
        </w:rPr>
      </w:pPr>
    </w:p>
    <w:p w14:paraId="4216F2D6" w14:textId="77777777" w:rsidR="003D0262" w:rsidRPr="001A234F" w:rsidRDefault="003D0262" w:rsidP="003D0262">
      <w:pPr>
        <w:spacing w:after="0"/>
        <w:jc w:val="center"/>
        <w:rPr>
          <w:b/>
          <w:color w:val="FF0000"/>
          <w:sz w:val="24"/>
          <w:szCs w:val="24"/>
          <w:highlight w:val="yellow"/>
        </w:rPr>
      </w:pPr>
      <w:r w:rsidRPr="001A234F">
        <w:rPr>
          <w:noProof/>
          <w:sz w:val="24"/>
          <w:szCs w:val="24"/>
          <w:lang w:eastAsia="en-GB"/>
        </w:rPr>
        <w:drawing>
          <wp:inline distT="0" distB="0" distL="0" distR="0" wp14:anchorId="34C5EC3F" wp14:editId="280501EF">
            <wp:extent cx="5619404" cy="3009207"/>
            <wp:effectExtent l="0" t="0" r="635"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6EC10E" w14:textId="77777777" w:rsidR="003D0262" w:rsidRPr="001A234F"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t>Agency</w:t>
      </w:r>
      <w:r>
        <w:rPr>
          <w:rFonts w:ascii="Perpetua" w:hAnsi="Perpetua" w:cs="Arial"/>
          <w:color w:val="222222"/>
          <w:sz w:val="26"/>
          <w:szCs w:val="26"/>
        </w:rPr>
        <w:t>’s</w:t>
      </w:r>
      <w:r w:rsidRPr="001A234F">
        <w:rPr>
          <w:rFonts w:ascii="Perpetua" w:hAnsi="Perpetua" w:cs="Arial"/>
          <w:color w:val="222222"/>
          <w:sz w:val="26"/>
          <w:szCs w:val="26"/>
        </w:rPr>
        <w:t xml:space="preserve"> financial assets are </w:t>
      </w:r>
      <w:r>
        <w:rPr>
          <w:rFonts w:ascii="Perpetua" w:hAnsi="Perpetua" w:cs="Arial"/>
          <w:color w:val="222222"/>
          <w:sz w:val="26"/>
          <w:szCs w:val="26"/>
        </w:rPr>
        <w:t>mostly</w:t>
      </w:r>
      <w:r w:rsidRPr="001A234F">
        <w:rPr>
          <w:rFonts w:ascii="Perpetua" w:hAnsi="Perpetua" w:cs="Arial"/>
          <w:color w:val="222222"/>
          <w:sz w:val="26"/>
          <w:szCs w:val="26"/>
        </w:rPr>
        <w:t xml:space="preserve"> in Albanian currency (ALL) . The agency also holds a portion of its financial assets in foreign currency. </w:t>
      </w:r>
      <w:r w:rsidRPr="007421AF">
        <w:rPr>
          <w:rFonts w:ascii="Perpetua" w:hAnsi="Perpetua" w:cs="Arial"/>
          <w:color w:val="222222"/>
          <w:sz w:val="26"/>
          <w:szCs w:val="26"/>
        </w:rPr>
        <w:t xml:space="preserve">The below graph shows a summary of currency – based financial assets investment of the Agency on December </w:t>
      </w:r>
      <w:r w:rsidRPr="001A234F">
        <w:rPr>
          <w:rFonts w:ascii="Perpetua" w:hAnsi="Perpetua" w:cs="Arial"/>
          <w:color w:val="222222"/>
          <w:sz w:val="26"/>
          <w:szCs w:val="26"/>
        </w:rPr>
        <w:t>31, 2015.</w:t>
      </w:r>
    </w:p>
    <w:p w14:paraId="04F0EA3D" w14:textId="77777777" w:rsidR="003D0262" w:rsidRPr="001A234F" w:rsidRDefault="003D0262" w:rsidP="003D0262">
      <w:pPr>
        <w:rPr>
          <w:rFonts w:cs="Arial"/>
          <w:color w:val="222222"/>
          <w:sz w:val="24"/>
          <w:szCs w:val="24"/>
        </w:rPr>
      </w:pPr>
    </w:p>
    <w:p w14:paraId="2956E9D2" w14:textId="77777777" w:rsidR="003D0262" w:rsidRPr="001A234F" w:rsidRDefault="003D0262" w:rsidP="003D0262">
      <w:pPr>
        <w:rPr>
          <w:rFonts w:cs="Arial"/>
          <w:color w:val="222222"/>
          <w:sz w:val="24"/>
          <w:szCs w:val="24"/>
        </w:rPr>
      </w:pPr>
    </w:p>
    <w:p w14:paraId="0654F7F5" w14:textId="77777777" w:rsidR="003D0262" w:rsidRPr="001A234F" w:rsidRDefault="003D0262" w:rsidP="003D0262">
      <w:pPr>
        <w:jc w:val="right"/>
        <w:rPr>
          <w:rFonts w:cs="Calibri"/>
          <w:i/>
          <w:color w:val="FF0000"/>
          <w:sz w:val="24"/>
          <w:szCs w:val="24"/>
        </w:rPr>
        <w:sectPr w:rsidR="003D0262" w:rsidRPr="001A234F" w:rsidSect="006E7E78">
          <w:pgSz w:w="11906" w:h="16838"/>
          <w:pgMar w:top="851" w:right="1440" w:bottom="1440" w:left="1440" w:header="708" w:footer="708" w:gutter="0"/>
          <w:cols w:space="708"/>
          <w:docGrid w:linePitch="360"/>
        </w:sectPr>
      </w:pPr>
    </w:p>
    <w:p w14:paraId="04B91D3E" w14:textId="77777777" w:rsidR="003D0262" w:rsidRPr="001A234F" w:rsidRDefault="003D0262" w:rsidP="003D0262">
      <w:pPr>
        <w:jc w:val="right"/>
        <w:rPr>
          <w:b/>
          <w:color w:val="FF0000"/>
          <w:sz w:val="24"/>
          <w:szCs w:val="24"/>
        </w:rPr>
      </w:pPr>
      <w:r w:rsidRPr="007421AF">
        <w:rPr>
          <w:rFonts w:ascii="Perpetua" w:hAnsi="Perpetua" w:cs="Calibri"/>
          <w:i/>
          <w:color w:val="FF0000"/>
        </w:rPr>
        <w:lastRenderedPageBreak/>
        <w:t>Chart 20.</w:t>
      </w:r>
      <w:r w:rsidRPr="001A234F">
        <w:rPr>
          <w:rFonts w:cs="Calibri"/>
          <w:i/>
          <w:color w:val="FF0000"/>
          <w:sz w:val="24"/>
          <w:szCs w:val="24"/>
        </w:rPr>
        <w:t xml:space="preserve"> </w:t>
      </w:r>
      <w:r>
        <w:rPr>
          <w:rFonts w:ascii="Perpetua" w:hAnsi="Perpetua" w:cs="Calibri"/>
          <w:i/>
          <w:color w:val="FF0000"/>
        </w:rPr>
        <w:t>Financing according the currencies</w:t>
      </w:r>
    </w:p>
    <w:p w14:paraId="4CA37F95" w14:textId="77777777" w:rsidR="003D0262" w:rsidRPr="001A234F" w:rsidRDefault="003D0262" w:rsidP="003D0262">
      <w:pPr>
        <w:spacing w:after="0"/>
        <w:jc w:val="center"/>
        <w:rPr>
          <w:rFonts w:cstheme="minorHAnsi"/>
          <w:sz w:val="24"/>
          <w:szCs w:val="24"/>
        </w:rPr>
      </w:pPr>
      <w:r w:rsidRPr="001A234F">
        <w:rPr>
          <w:noProof/>
          <w:sz w:val="24"/>
          <w:szCs w:val="24"/>
          <w:lang w:eastAsia="en-GB"/>
        </w:rPr>
        <w:drawing>
          <wp:inline distT="0" distB="0" distL="0" distR="0" wp14:anchorId="6327E784" wp14:editId="0CE9ADEA">
            <wp:extent cx="4488872" cy="2610196"/>
            <wp:effectExtent l="0" t="0" r="698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62497A" w14:textId="77777777" w:rsidR="003D0262" w:rsidRPr="001A234F" w:rsidRDefault="003D0262" w:rsidP="003D0262">
      <w:pPr>
        <w:spacing w:after="0"/>
        <w:jc w:val="both"/>
        <w:rPr>
          <w:rFonts w:cstheme="minorHAnsi"/>
          <w:sz w:val="24"/>
          <w:szCs w:val="24"/>
        </w:rPr>
      </w:pPr>
    </w:p>
    <w:p w14:paraId="50A998B3" w14:textId="77777777" w:rsidR="003D0262" w:rsidRPr="001A234F"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t xml:space="preserve">Based on above information on the financial assets of the Agency, </w:t>
      </w:r>
      <w:r w:rsidRPr="007421AF">
        <w:rPr>
          <w:rFonts w:ascii="Perpetua" w:hAnsi="Perpetua" w:cs="Arial"/>
          <w:color w:val="222222"/>
          <w:sz w:val="26"/>
          <w:szCs w:val="26"/>
        </w:rPr>
        <w:t xml:space="preserve">the graph below presents financial assets allocation by duration to maturity until </w:t>
      </w:r>
      <w:r w:rsidRPr="001A234F">
        <w:rPr>
          <w:rFonts w:ascii="Perpetua" w:hAnsi="Perpetua" w:cs="Arial"/>
          <w:color w:val="222222"/>
          <w:sz w:val="26"/>
          <w:szCs w:val="26"/>
        </w:rPr>
        <w:t xml:space="preserve">31 December 2015. In order to effectively manage and secure funds at any time in terms of financial needs for liquid assets, financial tools have a scalable distribution by term to maturity. Starting from the second half of 2014, </w:t>
      </w:r>
      <w:r>
        <w:rPr>
          <w:rFonts w:ascii="Perpetua" w:hAnsi="Perpetua" w:cs="Arial"/>
          <w:color w:val="222222"/>
          <w:sz w:val="26"/>
          <w:szCs w:val="26"/>
        </w:rPr>
        <w:t>upon</w:t>
      </w:r>
      <w:r w:rsidRPr="001A234F">
        <w:rPr>
          <w:rFonts w:ascii="Perpetua" w:hAnsi="Perpetua" w:cs="Arial"/>
          <w:color w:val="222222"/>
          <w:sz w:val="26"/>
          <w:szCs w:val="26"/>
        </w:rPr>
        <w:t xml:space="preserve"> approval of Law no. 53/14 "On deposit insurance", the Agency has moved about 15% of its portfolio in instruments with residual maturity of 12-24 months. The previous law "On deposit insurance" allowed investments in instruments with residual maturity of no more than 12 months.</w:t>
      </w:r>
    </w:p>
    <w:p w14:paraId="1553DA87" w14:textId="77777777" w:rsidR="003D0262" w:rsidRPr="001A234F" w:rsidRDefault="003D0262" w:rsidP="003D0262">
      <w:pPr>
        <w:jc w:val="right"/>
        <w:rPr>
          <w:rFonts w:cs="Calibri"/>
          <w:b/>
          <w:i/>
          <w:color w:val="FF0000"/>
          <w:sz w:val="24"/>
          <w:szCs w:val="24"/>
        </w:rPr>
      </w:pPr>
      <w:r w:rsidRPr="007421AF">
        <w:rPr>
          <w:rFonts w:ascii="Perpetua" w:hAnsi="Perpetua" w:cs="Calibri"/>
          <w:bCs/>
          <w:i/>
          <w:color w:val="FF0000"/>
        </w:rPr>
        <w:t xml:space="preserve">Chart 21. </w:t>
      </w:r>
      <w:r>
        <w:rPr>
          <w:rFonts w:ascii="Perpetua" w:hAnsi="Perpetua" w:cs="Calibri"/>
          <w:bCs/>
          <w:i/>
          <w:color w:val="FF0000"/>
        </w:rPr>
        <w:t>Securities according to duration to maturity</w:t>
      </w:r>
    </w:p>
    <w:p w14:paraId="4CF33C2B" w14:textId="77777777" w:rsidR="003D0262" w:rsidRPr="001A234F" w:rsidRDefault="003D0262" w:rsidP="003D0262">
      <w:pPr>
        <w:jc w:val="center"/>
        <w:rPr>
          <w:rFonts w:cs="Arial"/>
          <w:color w:val="222222"/>
          <w:sz w:val="24"/>
          <w:szCs w:val="24"/>
        </w:rPr>
      </w:pPr>
      <w:r w:rsidRPr="001A234F">
        <w:rPr>
          <w:noProof/>
          <w:sz w:val="24"/>
          <w:szCs w:val="24"/>
          <w:lang w:eastAsia="en-GB"/>
        </w:rPr>
        <w:drawing>
          <wp:inline distT="0" distB="0" distL="0" distR="0" wp14:anchorId="7BC1A041" wp14:editId="4E2DCAEF">
            <wp:extent cx="5197642" cy="2743200"/>
            <wp:effectExtent l="0" t="0" r="317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581045" w14:textId="77777777" w:rsidR="003D0262" w:rsidRPr="0002345B" w:rsidRDefault="003D0262" w:rsidP="003D0262">
      <w:pPr>
        <w:pStyle w:val="Heading2"/>
        <w:spacing w:after="240"/>
        <w:rPr>
          <w:rFonts w:ascii="Perpetua" w:hAnsi="Perpetua"/>
          <w:color w:val="FF0000"/>
          <w:sz w:val="28"/>
        </w:rPr>
      </w:pPr>
      <w:bookmarkStart w:id="65" w:name="_Toc487804081"/>
      <w:r w:rsidRPr="00443A22">
        <w:rPr>
          <w:rFonts w:ascii="Perpetua" w:hAnsi="Perpetua"/>
          <w:color w:val="FF0000"/>
          <w:sz w:val="28"/>
        </w:rPr>
        <w:lastRenderedPageBreak/>
        <w:t>4.5. Financial resources available to the Agency</w:t>
      </w:r>
      <w:bookmarkEnd w:id="65"/>
    </w:p>
    <w:p w14:paraId="0F74E7F5" w14:textId="77777777" w:rsidR="003D0262" w:rsidRPr="0002345B" w:rsidRDefault="003D0262" w:rsidP="003D0262">
      <w:pPr>
        <w:pStyle w:val="Heading3"/>
        <w:spacing w:after="240"/>
        <w:rPr>
          <w:rFonts w:ascii="Perpetua" w:hAnsi="Perpetua"/>
          <w:b/>
          <w:color w:val="FF0000"/>
          <w:sz w:val="26"/>
          <w:szCs w:val="26"/>
        </w:rPr>
      </w:pPr>
      <w:bookmarkStart w:id="66" w:name="_Toc487804082"/>
      <w:r w:rsidRPr="0002345B">
        <w:rPr>
          <w:rFonts w:ascii="Perpetua" w:hAnsi="Perpetua"/>
          <w:color w:val="FF0000"/>
          <w:sz w:val="26"/>
          <w:szCs w:val="26"/>
        </w:rPr>
        <w:t>4.5.1. Deposit insurance funds</w:t>
      </w:r>
      <w:bookmarkEnd w:id="66"/>
    </w:p>
    <w:p w14:paraId="12F36106" w14:textId="77777777" w:rsidR="003D0262" w:rsidRPr="001A234F"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t xml:space="preserve">The financial assets of deposit insurance fund, which </w:t>
      </w:r>
      <w:r>
        <w:rPr>
          <w:rFonts w:ascii="Perpetua" w:hAnsi="Perpetua" w:cs="Arial"/>
          <w:color w:val="222222"/>
          <w:sz w:val="26"/>
          <w:szCs w:val="26"/>
        </w:rPr>
        <w:t xml:space="preserve">have been </w:t>
      </w:r>
      <w:r w:rsidRPr="001A234F">
        <w:rPr>
          <w:rFonts w:ascii="Perpetua" w:hAnsi="Perpetua" w:cs="Arial"/>
          <w:color w:val="222222"/>
          <w:sz w:val="26"/>
          <w:szCs w:val="26"/>
        </w:rPr>
        <w:t xml:space="preserve">expanded over the years, are used to compensate depositors in case of insurance event. At the end of 2015, the coverage ratio, calculated as a percentage of the deposit insurance fund in banks compared with insured deposits, was 4.68%, which is an important indicator about the efficiency of the scheme to respond to legal obligations that the Agency has to the depositors. Agency's financial assets are managed in accordance with the principles of liquidity, insurance and return rates. Thereupon, the Agency maintains a scalable distribution maturity of investments portfolio aiming in any case 25% -35% of its financial assets to be invested in instruments with residual maturity of less than three months. Also, in order to ensure liquidity in case of insurance event, the Agency has entered into agreements with the Ministry of Finance and the Bank of Albania. </w:t>
      </w:r>
      <w:r w:rsidRPr="001A234F">
        <w:rPr>
          <w:rFonts w:ascii="Perpetua" w:hAnsi="Perpetua" w:cs="Arial"/>
          <w:color w:val="222222"/>
          <w:sz w:val="26"/>
          <w:szCs w:val="26"/>
          <w:highlight w:val="yellow"/>
        </w:rPr>
        <w:t xml:space="preserve">Under this agreement, the Agency in order to </w:t>
      </w:r>
      <w:r>
        <w:rPr>
          <w:rFonts w:ascii="Perpetua" w:hAnsi="Perpetua" w:cs="Arial"/>
          <w:color w:val="222222"/>
          <w:sz w:val="26"/>
          <w:szCs w:val="26"/>
          <w:highlight w:val="yellow"/>
        </w:rPr>
        <w:t xml:space="preserve">effectively </w:t>
      </w:r>
      <w:r w:rsidRPr="001A234F">
        <w:rPr>
          <w:rFonts w:ascii="Perpetua" w:hAnsi="Perpetua" w:cs="Arial"/>
          <w:color w:val="222222"/>
          <w:sz w:val="26"/>
          <w:szCs w:val="26"/>
          <w:highlight w:val="yellow"/>
        </w:rPr>
        <w:t>respond to a</w:t>
      </w:r>
      <w:r>
        <w:rPr>
          <w:rFonts w:ascii="Perpetua" w:hAnsi="Perpetua" w:cs="Arial"/>
          <w:color w:val="222222"/>
          <w:sz w:val="26"/>
          <w:szCs w:val="26"/>
          <w:highlight w:val="yellow"/>
        </w:rPr>
        <w:t>n insurance</w:t>
      </w:r>
      <w:r w:rsidRPr="001A234F">
        <w:rPr>
          <w:rFonts w:ascii="Perpetua" w:hAnsi="Perpetua" w:cs="Arial"/>
          <w:color w:val="222222"/>
          <w:sz w:val="26"/>
          <w:szCs w:val="26"/>
          <w:highlight w:val="yellow"/>
        </w:rPr>
        <w:t xml:space="preserve"> event, </w:t>
      </w:r>
      <w:r>
        <w:rPr>
          <w:rFonts w:ascii="Perpetua" w:hAnsi="Perpetua" w:cs="Arial"/>
          <w:color w:val="222222"/>
          <w:sz w:val="26"/>
          <w:szCs w:val="26"/>
          <w:highlight w:val="yellow"/>
        </w:rPr>
        <w:t xml:space="preserve">may enter into a REPO agreement with the Ministry of Finance for the securities </w:t>
      </w:r>
      <w:r w:rsidRPr="001A234F">
        <w:rPr>
          <w:rFonts w:ascii="Perpetua" w:hAnsi="Perpetua" w:cs="Arial"/>
          <w:color w:val="222222"/>
          <w:sz w:val="26"/>
          <w:szCs w:val="26"/>
          <w:highlight w:val="yellow"/>
        </w:rPr>
        <w:t xml:space="preserve">issued by the Government of the Republic of Albania </w:t>
      </w:r>
      <w:r>
        <w:rPr>
          <w:rFonts w:ascii="Perpetua" w:hAnsi="Perpetua" w:cs="Arial"/>
          <w:color w:val="222222"/>
          <w:sz w:val="26"/>
          <w:szCs w:val="26"/>
          <w:highlight w:val="yellow"/>
        </w:rPr>
        <w:t>(</w:t>
      </w:r>
      <w:r w:rsidRPr="0002345B">
        <w:rPr>
          <w:rFonts w:ascii="Perpetua" w:hAnsi="Perpetua" w:cs="Arial"/>
          <w:color w:val="222222"/>
          <w:sz w:val="26"/>
          <w:szCs w:val="26"/>
          <w:highlight w:val="yellow"/>
          <w:u w:val="single"/>
        </w:rPr>
        <w:t>can sell its securities, issued by the Government of the Republic of Albania, to the Ministry of Finance with redemption obligation</w:t>
      </w:r>
      <w:r>
        <w:rPr>
          <w:rFonts w:ascii="Perpetua" w:hAnsi="Perpetua" w:cs="Arial"/>
          <w:color w:val="222222"/>
          <w:sz w:val="26"/>
          <w:szCs w:val="26"/>
          <w:highlight w:val="yellow"/>
        </w:rPr>
        <w:t>)</w:t>
      </w:r>
      <w:r w:rsidRPr="001A234F">
        <w:rPr>
          <w:rFonts w:ascii="Perpetua" w:hAnsi="Perpetua" w:cs="Arial"/>
          <w:color w:val="222222"/>
          <w:sz w:val="26"/>
          <w:szCs w:val="26"/>
          <w:highlight w:val="yellow"/>
        </w:rPr>
        <w:t xml:space="preserve">. </w:t>
      </w:r>
    </w:p>
    <w:p w14:paraId="1DDDCD71" w14:textId="77777777" w:rsidR="003D0262" w:rsidRPr="001A234F" w:rsidRDefault="003D0262" w:rsidP="003D0262">
      <w:pPr>
        <w:jc w:val="both"/>
        <w:rPr>
          <w:rFonts w:ascii="Perpetua" w:hAnsi="Perpetua" w:cs="Arial"/>
          <w:color w:val="FF0000"/>
          <w:sz w:val="26"/>
          <w:szCs w:val="26"/>
        </w:rPr>
      </w:pPr>
      <w:r w:rsidRPr="001A234F">
        <w:rPr>
          <w:rFonts w:ascii="Perpetua" w:hAnsi="Perpetua" w:cs="Arial"/>
          <w:color w:val="222222"/>
          <w:sz w:val="26"/>
          <w:szCs w:val="26"/>
        </w:rPr>
        <w:t>The fulfilment of the obligation to compensate depositors in time and the specified amount according the law is necessary to maintain financial stability and strengthen the confidence of citizens in the case of insurance event.</w:t>
      </w:r>
    </w:p>
    <w:p w14:paraId="611F2C9C" w14:textId="77777777" w:rsidR="003D0262" w:rsidRPr="0002345B" w:rsidRDefault="003D0262" w:rsidP="003D0262">
      <w:pPr>
        <w:pStyle w:val="Heading3"/>
        <w:spacing w:after="240"/>
        <w:rPr>
          <w:rFonts w:ascii="Perpetua" w:hAnsi="Perpetua"/>
          <w:b/>
          <w:color w:val="FF0000"/>
          <w:sz w:val="26"/>
          <w:szCs w:val="26"/>
        </w:rPr>
      </w:pPr>
      <w:bookmarkStart w:id="67" w:name="_Toc487804083"/>
      <w:r w:rsidRPr="0002345B">
        <w:rPr>
          <w:rFonts w:ascii="Perpetua" w:hAnsi="Perpetua"/>
          <w:color w:val="FF0000"/>
          <w:sz w:val="26"/>
          <w:szCs w:val="26"/>
        </w:rPr>
        <w:t>4.5.2. Loan Agreements</w:t>
      </w:r>
      <w:bookmarkEnd w:id="67"/>
    </w:p>
    <w:p w14:paraId="03FF3E3C" w14:textId="77777777" w:rsidR="003D0262" w:rsidRPr="001A234F" w:rsidRDefault="003D0262" w:rsidP="003D0262">
      <w:pPr>
        <w:jc w:val="both"/>
        <w:rPr>
          <w:rFonts w:ascii="Perpetua" w:hAnsi="Perpetua" w:cs="Arial"/>
          <w:color w:val="FF0000"/>
          <w:sz w:val="26"/>
          <w:szCs w:val="26"/>
        </w:rPr>
      </w:pPr>
      <w:r w:rsidRPr="001A234F">
        <w:rPr>
          <w:rFonts w:ascii="Perpetua" w:hAnsi="Perpetua" w:cs="Arial"/>
          <w:color w:val="222222"/>
          <w:sz w:val="26"/>
          <w:szCs w:val="26"/>
        </w:rPr>
        <w:t>For this reason, the Deposit Insurance Law has provided to the Agency the ability to address to various financial resources in order to guarantee the fulfil</w:t>
      </w:r>
      <w:r>
        <w:rPr>
          <w:rFonts w:ascii="Perpetua" w:hAnsi="Perpetua" w:cs="Arial"/>
          <w:color w:val="222222"/>
          <w:sz w:val="26"/>
          <w:szCs w:val="26"/>
        </w:rPr>
        <w:t>ment</w:t>
      </w:r>
      <w:r w:rsidRPr="001A234F">
        <w:rPr>
          <w:rFonts w:ascii="Perpetua" w:hAnsi="Perpetua" w:cs="Arial"/>
          <w:color w:val="222222"/>
          <w:sz w:val="26"/>
          <w:szCs w:val="26"/>
        </w:rPr>
        <w:t xml:space="preserve"> of its obligations at any time. One of the most important instruments available to the Agency is the right to </w:t>
      </w:r>
      <w:r w:rsidRPr="0002345B">
        <w:rPr>
          <w:rFonts w:ascii="Perpetua" w:hAnsi="Perpetua" w:cs="Arial"/>
          <w:color w:val="222222"/>
          <w:sz w:val="26"/>
          <w:szCs w:val="26"/>
          <w:highlight w:val="yellow"/>
        </w:rPr>
        <w:t>take loans (borrow)</w:t>
      </w:r>
      <w:r w:rsidRPr="001A234F">
        <w:rPr>
          <w:rFonts w:ascii="Perpetua" w:hAnsi="Perpetua" w:cs="Arial"/>
          <w:color w:val="222222"/>
          <w:sz w:val="26"/>
          <w:szCs w:val="26"/>
        </w:rPr>
        <w:t xml:space="preserve">. At the end of 2014, the Agency signed a loan agreement with the European Bank for Reconstruction and Development (EBRD) for a credit line up to EUR 100 million. The loan agreement is accompanied by a guarantee of the Albanian Government. In case of insurance event, the Agency can access available funds from the lines of credit in a short time, </w:t>
      </w:r>
      <w:r>
        <w:rPr>
          <w:rFonts w:ascii="Perpetua" w:hAnsi="Perpetua" w:cs="Arial"/>
          <w:color w:val="222222"/>
          <w:sz w:val="26"/>
          <w:szCs w:val="26"/>
        </w:rPr>
        <w:t xml:space="preserve">thus </w:t>
      </w:r>
      <w:r w:rsidRPr="001A234F">
        <w:rPr>
          <w:rFonts w:ascii="Perpetua" w:hAnsi="Perpetua" w:cs="Arial"/>
          <w:color w:val="222222"/>
          <w:sz w:val="26"/>
          <w:szCs w:val="26"/>
        </w:rPr>
        <w:t>increasing the efficiency of the scheme to respond in time to liabilities towards depositors. During 201</w:t>
      </w:r>
      <w:r>
        <w:rPr>
          <w:rFonts w:ascii="Perpetua" w:hAnsi="Perpetua" w:cs="Arial"/>
          <w:color w:val="222222"/>
          <w:sz w:val="26"/>
          <w:szCs w:val="26"/>
        </w:rPr>
        <w:t>5</w:t>
      </w:r>
      <w:r w:rsidRPr="001A234F">
        <w:rPr>
          <w:rFonts w:ascii="Perpetua" w:hAnsi="Perpetua" w:cs="Arial"/>
          <w:color w:val="222222"/>
          <w:sz w:val="26"/>
          <w:szCs w:val="26"/>
        </w:rPr>
        <w:t>, in order to keep available all instruments for a more efficient scheme, the Agency supported by the government, kept the available amount from credit line in the maximum amount of 100 million EUR.</w:t>
      </w:r>
    </w:p>
    <w:p w14:paraId="720323F0" w14:textId="77777777" w:rsidR="003D0262" w:rsidRPr="001A234F" w:rsidRDefault="003D0262" w:rsidP="003D0262">
      <w:pPr>
        <w:tabs>
          <w:tab w:val="left" w:pos="5925"/>
        </w:tabs>
        <w:rPr>
          <w:rFonts w:ascii="Perpetua" w:hAnsi="Perpetua" w:cs="Arial"/>
          <w:color w:val="222222"/>
          <w:sz w:val="26"/>
          <w:szCs w:val="26"/>
        </w:rPr>
      </w:pPr>
    </w:p>
    <w:p w14:paraId="7D86AB77" w14:textId="77777777" w:rsidR="003D0262" w:rsidRPr="001A234F" w:rsidRDefault="003D0262" w:rsidP="003D0262">
      <w:pPr>
        <w:tabs>
          <w:tab w:val="left" w:pos="5925"/>
        </w:tabs>
        <w:rPr>
          <w:rFonts w:ascii="Perpetua" w:hAnsi="Perpetua" w:cs="Arial"/>
          <w:color w:val="222222"/>
          <w:sz w:val="26"/>
          <w:szCs w:val="26"/>
        </w:rPr>
      </w:pPr>
    </w:p>
    <w:p w14:paraId="326CE90B" w14:textId="77777777" w:rsidR="003D0262" w:rsidRPr="0002345B" w:rsidRDefault="003D0262" w:rsidP="003D0262">
      <w:pPr>
        <w:pStyle w:val="Heading3"/>
        <w:spacing w:after="240"/>
        <w:rPr>
          <w:rFonts w:ascii="Perpetua" w:hAnsi="Perpetua"/>
          <w:b/>
          <w:color w:val="FF0000"/>
          <w:sz w:val="26"/>
          <w:szCs w:val="26"/>
        </w:rPr>
      </w:pPr>
      <w:bookmarkStart w:id="68" w:name="_Toc487804084"/>
      <w:r w:rsidRPr="0002345B">
        <w:rPr>
          <w:rFonts w:ascii="Perpetua" w:hAnsi="Perpetua"/>
          <w:color w:val="FF0000"/>
          <w:sz w:val="26"/>
          <w:szCs w:val="26"/>
        </w:rPr>
        <w:lastRenderedPageBreak/>
        <w:t>4.5.3. The insurance premiums and the special contribution</w:t>
      </w:r>
      <w:bookmarkEnd w:id="68"/>
    </w:p>
    <w:p w14:paraId="17352BBB" w14:textId="77777777" w:rsidR="003D0262" w:rsidRPr="001A234F" w:rsidRDefault="003D0262" w:rsidP="003D0262">
      <w:pPr>
        <w:tabs>
          <w:tab w:val="left" w:pos="5925"/>
        </w:tabs>
        <w:jc w:val="both"/>
        <w:rPr>
          <w:rFonts w:ascii="Perpetua" w:hAnsi="Perpetua" w:cs="Arial"/>
          <w:color w:val="222222"/>
          <w:sz w:val="26"/>
          <w:szCs w:val="26"/>
        </w:rPr>
      </w:pPr>
      <w:r w:rsidRPr="001A234F">
        <w:rPr>
          <w:rFonts w:ascii="Perpetua" w:hAnsi="Perpetua" w:cs="Arial"/>
          <w:color w:val="222222"/>
          <w:sz w:val="26"/>
          <w:szCs w:val="26"/>
        </w:rPr>
        <w:t xml:space="preserve">The Agency </w:t>
      </w:r>
      <w:r>
        <w:rPr>
          <w:rFonts w:ascii="Perpetua" w:hAnsi="Perpetua" w:cs="Arial"/>
          <w:color w:val="222222"/>
          <w:sz w:val="26"/>
          <w:szCs w:val="26"/>
        </w:rPr>
        <w:t xml:space="preserve">upon </w:t>
      </w:r>
      <w:r w:rsidRPr="001A234F">
        <w:rPr>
          <w:rFonts w:ascii="Perpetua" w:hAnsi="Perpetua" w:cs="Arial"/>
          <w:color w:val="222222"/>
          <w:sz w:val="26"/>
          <w:szCs w:val="26"/>
        </w:rPr>
        <w:t xml:space="preserve">the Bank of Albania approval, if deemed necessary to cope with </w:t>
      </w:r>
      <w:r>
        <w:rPr>
          <w:rFonts w:ascii="Perpetua" w:hAnsi="Perpetua" w:cs="Arial"/>
          <w:color w:val="222222"/>
          <w:sz w:val="26"/>
          <w:szCs w:val="26"/>
        </w:rPr>
        <w:t>its</w:t>
      </w:r>
      <w:r w:rsidRPr="001A234F">
        <w:rPr>
          <w:rFonts w:ascii="Perpetua" w:hAnsi="Perpetua" w:cs="Arial"/>
          <w:color w:val="222222"/>
          <w:sz w:val="26"/>
          <w:szCs w:val="26"/>
        </w:rPr>
        <w:t xml:space="preserve"> obligations, may require from the member entities to pay a special contribution.</w:t>
      </w:r>
      <w:r w:rsidRPr="001A234F">
        <w:rPr>
          <w:rFonts w:ascii="Perpetua" w:hAnsi="Perpetua" w:cs="Arial"/>
          <w:color w:val="FF0000"/>
          <w:sz w:val="26"/>
          <w:szCs w:val="26"/>
        </w:rPr>
        <w:t xml:space="preserve"> </w:t>
      </w:r>
      <w:r w:rsidRPr="001A234F">
        <w:rPr>
          <w:rFonts w:ascii="Perpetua" w:hAnsi="Perpetua" w:cs="Arial"/>
          <w:color w:val="222222"/>
          <w:sz w:val="26"/>
          <w:szCs w:val="26"/>
        </w:rPr>
        <w:t xml:space="preserve">With the proposal of the Agency, Bank of Albania defines the member entities, </w:t>
      </w:r>
      <w:r w:rsidRPr="001A234F">
        <w:rPr>
          <w:rFonts w:ascii="Perpetua" w:hAnsi="Perpetua" w:cs="Arial"/>
          <w:color w:val="222222"/>
          <w:sz w:val="26"/>
          <w:szCs w:val="26"/>
          <w:highlight w:val="yellow"/>
        </w:rPr>
        <w:t>which for reasons</w:t>
      </w:r>
      <w:r w:rsidRPr="001A234F">
        <w:rPr>
          <w:rFonts w:ascii="Perpetua" w:hAnsi="Perpetua" w:cs="Arial"/>
          <w:color w:val="222222"/>
          <w:sz w:val="26"/>
          <w:szCs w:val="26"/>
        </w:rPr>
        <w:t xml:space="preserve"> of maintaining their solvency, can be exempt</w:t>
      </w:r>
      <w:r>
        <w:rPr>
          <w:rFonts w:ascii="Perpetua" w:hAnsi="Perpetua" w:cs="Arial"/>
          <w:color w:val="222222"/>
          <w:sz w:val="26"/>
          <w:szCs w:val="26"/>
        </w:rPr>
        <w:t>ed</w:t>
      </w:r>
      <w:r w:rsidRPr="001A234F">
        <w:rPr>
          <w:rFonts w:ascii="Perpetua" w:hAnsi="Perpetua" w:cs="Arial"/>
          <w:color w:val="222222"/>
          <w:sz w:val="26"/>
          <w:szCs w:val="26"/>
        </w:rPr>
        <w:t xml:space="preserve"> from paying this special contribution. The special contribution of the member parties is </w:t>
      </w:r>
      <w:r>
        <w:rPr>
          <w:rFonts w:ascii="Perpetua" w:hAnsi="Perpetua" w:cs="Arial"/>
          <w:color w:val="222222"/>
          <w:sz w:val="26"/>
          <w:szCs w:val="26"/>
        </w:rPr>
        <w:t>collected</w:t>
      </w:r>
      <w:r w:rsidRPr="001A234F">
        <w:rPr>
          <w:rFonts w:ascii="Perpetua" w:hAnsi="Perpetua" w:cs="Arial"/>
          <w:color w:val="222222"/>
          <w:sz w:val="26"/>
          <w:szCs w:val="26"/>
        </w:rPr>
        <w:t xml:space="preserve"> by the Agency only once during the calendar year. The </w:t>
      </w:r>
      <w:r>
        <w:rPr>
          <w:rFonts w:ascii="Perpetua" w:hAnsi="Perpetua" w:cs="Arial"/>
          <w:color w:val="222222"/>
          <w:sz w:val="26"/>
          <w:szCs w:val="26"/>
        </w:rPr>
        <w:t>special</w:t>
      </w:r>
      <w:r w:rsidRPr="001A234F">
        <w:rPr>
          <w:rFonts w:ascii="Perpetua" w:hAnsi="Perpetua" w:cs="Arial"/>
          <w:color w:val="222222"/>
          <w:sz w:val="26"/>
          <w:szCs w:val="26"/>
        </w:rPr>
        <w:t xml:space="preserve"> contribution is defined in the same amount for all member entities and in any case not more than 1% of the total insured deposits that are registered on the entity on the last day of the preceding month from the date of notification </w:t>
      </w:r>
      <w:r>
        <w:rPr>
          <w:rFonts w:ascii="Perpetua" w:hAnsi="Perpetua" w:cs="Arial"/>
          <w:color w:val="222222"/>
          <w:sz w:val="26"/>
          <w:szCs w:val="26"/>
        </w:rPr>
        <w:t>by</w:t>
      </w:r>
      <w:r w:rsidRPr="001A234F">
        <w:rPr>
          <w:rFonts w:ascii="Perpetua" w:hAnsi="Perpetua" w:cs="Arial"/>
          <w:color w:val="222222"/>
          <w:sz w:val="26"/>
          <w:szCs w:val="26"/>
        </w:rPr>
        <w:t xml:space="preserve"> the Agency.</w:t>
      </w:r>
    </w:p>
    <w:p w14:paraId="6DDB6B83" w14:textId="77777777" w:rsidR="003D0262" w:rsidRPr="001A234F" w:rsidRDefault="003D0262" w:rsidP="003D0262">
      <w:pPr>
        <w:tabs>
          <w:tab w:val="left" w:pos="5925"/>
        </w:tabs>
        <w:jc w:val="both"/>
        <w:rPr>
          <w:rFonts w:ascii="Perpetua" w:hAnsi="Perpetua" w:cs="Arial"/>
          <w:color w:val="FF0000"/>
          <w:sz w:val="26"/>
          <w:szCs w:val="26"/>
        </w:rPr>
      </w:pPr>
      <w:r>
        <w:rPr>
          <w:rFonts w:ascii="Perpetua" w:hAnsi="Perpetua" w:cs="Arial"/>
          <w:color w:val="222222"/>
          <w:sz w:val="26"/>
          <w:szCs w:val="26"/>
        </w:rPr>
        <w:t>Moreover,</w:t>
      </w:r>
      <w:r w:rsidRPr="001A234F">
        <w:rPr>
          <w:rFonts w:ascii="Perpetua" w:hAnsi="Perpetua" w:cs="Arial"/>
          <w:color w:val="222222"/>
          <w:sz w:val="26"/>
          <w:szCs w:val="26"/>
        </w:rPr>
        <w:t xml:space="preserve"> in case of insurance event</w:t>
      </w:r>
      <w:r>
        <w:rPr>
          <w:rFonts w:ascii="Perpetua" w:hAnsi="Perpetua" w:cs="Arial"/>
          <w:color w:val="222222"/>
          <w:sz w:val="26"/>
          <w:szCs w:val="26"/>
        </w:rPr>
        <w:t xml:space="preserve">, aiming to guaranty </w:t>
      </w:r>
      <w:r w:rsidRPr="001A234F">
        <w:rPr>
          <w:rFonts w:ascii="Perpetua" w:hAnsi="Perpetua" w:cs="Arial"/>
          <w:color w:val="222222"/>
          <w:sz w:val="26"/>
          <w:szCs w:val="26"/>
        </w:rPr>
        <w:t>sufficient funds, the Agency may require to the member entities to pay the premiums ahead of schedule, in an amount not greater than four times the value of the last premium and can also increase the insurance premium in accordance with the legislation in force.</w:t>
      </w:r>
    </w:p>
    <w:p w14:paraId="15B884D7" w14:textId="77777777" w:rsidR="003D0262" w:rsidRPr="00E8244A" w:rsidRDefault="003D0262" w:rsidP="003D0262">
      <w:pPr>
        <w:pStyle w:val="Heading3"/>
        <w:spacing w:after="240"/>
        <w:rPr>
          <w:rFonts w:ascii="Perpetua" w:hAnsi="Perpetua"/>
          <w:b/>
          <w:color w:val="FF0000"/>
          <w:sz w:val="26"/>
          <w:szCs w:val="26"/>
        </w:rPr>
      </w:pPr>
      <w:bookmarkStart w:id="69" w:name="_Toc487804085"/>
      <w:r w:rsidRPr="00E8244A">
        <w:rPr>
          <w:rFonts w:ascii="Perpetua" w:hAnsi="Perpetua"/>
          <w:color w:val="FF0000"/>
          <w:sz w:val="26"/>
          <w:szCs w:val="26"/>
        </w:rPr>
        <w:t>4.5.4. State Budget</w:t>
      </w:r>
      <w:bookmarkEnd w:id="69"/>
    </w:p>
    <w:p w14:paraId="62CCF682" w14:textId="77777777" w:rsidR="003D0262" w:rsidRPr="001A234F" w:rsidRDefault="003D0262" w:rsidP="003D0262">
      <w:pPr>
        <w:jc w:val="both"/>
        <w:rPr>
          <w:rFonts w:ascii="Perpetua" w:hAnsi="Perpetua" w:cs="Arial"/>
          <w:color w:val="222222"/>
          <w:sz w:val="26"/>
          <w:szCs w:val="26"/>
        </w:rPr>
      </w:pPr>
      <w:r w:rsidRPr="001A234F">
        <w:rPr>
          <w:rFonts w:ascii="Perpetua" w:hAnsi="Perpetua" w:cs="Arial"/>
          <w:color w:val="222222"/>
          <w:sz w:val="26"/>
          <w:szCs w:val="26"/>
        </w:rPr>
        <w:t xml:space="preserve">The above instruments enhance the ability of the Agency to ensure financial means to respond to the obligations towards depositors without having to address to the state budget. </w:t>
      </w:r>
      <w:r>
        <w:rPr>
          <w:rFonts w:ascii="Perpetua" w:hAnsi="Perpetua" w:cs="Arial"/>
          <w:color w:val="222222"/>
          <w:sz w:val="26"/>
          <w:szCs w:val="26"/>
        </w:rPr>
        <w:t>Nevertheless, i</w:t>
      </w:r>
      <w:r w:rsidRPr="001A234F">
        <w:rPr>
          <w:rFonts w:ascii="Perpetua" w:hAnsi="Perpetua" w:cs="Arial"/>
          <w:color w:val="222222"/>
          <w:sz w:val="26"/>
          <w:szCs w:val="26"/>
        </w:rPr>
        <w:t xml:space="preserve">f the funds provided by these instruments are not sufficient, then the Agency can borrow from the state budget, in accordance with the legislation in force. In accordance with above, the Agency has </w:t>
      </w:r>
      <w:r>
        <w:rPr>
          <w:rFonts w:ascii="Perpetua" w:hAnsi="Perpetua" w:cs="Arial"/>
          <w:color w:val="222222"/>
          <w:sz w:val="26"/>
          <w:szCs w:val="26"/>
        </w:rPr>
        <w:t>signed</w:t>
      </w:r>
      <w:r w:rsidRPr="001A234F">
        <w:rPr>
          <w:rFonts w:ascii="Perpetua" w:hAnsi="Perpetua" w:cs="Arial"/>
          <w:color w:val="222222"/>
          <w:sz w:val="26"/>
          <w:szCs w:val="26"/>
        </w:rPr>
        <w:t xml:space="preserve"> an agreement with the Ministry of Finance and Bank of Albania. </w:t>
      </w:r>
      <w:r>
        <w:rPr>
          <w:rFonts w:ascii="Perpetua" w:hAnsi="Perpetua" w:cs="Arial"/>
          <w:color w:val="222222"/>
          <w:sz w:val="26"/>
          <w:szCs w:val="26"/>
        </w:rPr>
        <w:t>This</w:t>
      </w:r>
      <w:r w:rsidRPr="001A234F">
        <w:rPr>
          <w:rFonts w:ascii="Perpetua" w:hAnsi="Perpetua" w:cs="Arial"/>
          <w:color w:val="222222"/>
          <w:sz w:val="26"/>
          <w:szCs w:val="26"/>
        </w:rPr>
        <w:t xml:space="preserve"> legislation allows to the Agency a number of instruments to ensure the timely fulfilment of </w:t>
      </w:r>
      <w:r>
        <w:rPr>
          <w:rFonts w:ascii="Perpetua" w:hAnsi="Perpetua" w:cs="Arial"/>
          <w:color w:val="222222"/>
          <w:sz w:val="26"/>
          <w:szCs w:val="26"/>
        </w:rPr>
        <w:t xml:space="preserve">its </w:t>
      </w:r>
      <w:r w:rsidRPr="001A234F">
        <w:rPr>
          <w:rFonts w:ascii="Perpetua" w:hAnsi="Perpetua" w:cs="Arial"/>
          <w:color w:val="222222"/>
          <w:sz w:val="26"/>
          <w:szCs w:val="26"/>
        </w:rPr>
        <w:t xml:space="preserve">obligations to depositors by increasing confidence in the financial system and maintain its stability. Moreover, the legislation in force </w:t>
      </w:r>
      <w:r>
        <w:rPr>
          <w:rFonts w:ascii="Perpetua" w:hAnsi="Perpetua" w:cs="Arial"/>
          <w:color w:val="222222"/>
          <w:sz w:val="26"/>
          <w:szCs w:val="26"/>
        </w:rPr>
        <w:t>provides</w:t>
      </w:r>
      <w:r w:rsidRPr="001A234F">
        <w:rPr>
          <w:rFonts w:ascii="Perpetua" w:hAnsi="Perpetua" w:cs="Arial"/>
          <w:color w:val="222222"/>
          <w:sz w:val="26"/>
          <w:szCs w:val="26"/>
        </w:rPr>
        <w:t xml:space="preserve"> that the Agency can address</w:t>
      </w:r>
      <w:r>
        <w:rPr>
          <w:rFonts w:ascii="Perpetua" w:hAnsi="Perpetua" w:cs="Arial"/>
          <w:color w:val="222222"/>
          <w:sz w:val="26"/>
          <w:szCs w:val="26"/>
        </w:rPr>
        <w:t xml:space="preserve"> the </w:t>
      </w:r>
      <w:r w:rsidRPr="001A234F">
        <w:rPr>
          <w:rFonts w:ascii="Perpetua" w:hAnsi="Perpetua" w:cs="Arial"/>
          <w:color w:val="222222"/>
          <w:sz w:val="26"/>
          <w:szCs w:val="26"/>
        </w:rPr>
        <w:t>state budget for additional financing</w:t>
      </w:r>
      <w:r>
        <w:rPr>
          <w:rFonts w:ascii="Perpetua" w:hAnsi="Perpetua" w:cs="Arial"/>
          <w:color w:val="222222"/>
          <w:sz w:val="26"/>
          <w:szCs w:val="26"/>
        </w:rPr>
        <w:t>,</w:t>
      </w:r>
      <w:r w:rsidRPr="001A234F">
        <w:rPr>
          <w:rFonts w:ascii="Perpetua" w:hAnsi="Perpetua" w:cs="Arial"/>
          <w:color w:val="222222"/>
          <w:sz w:val="26"/>
          <w:szCs w:val="26"/>
        </w:rPr>
        <w:t xml:space="preserve"> only after using the financial resources of the member entities of the scheme thereby protecting the interests of taxpayers. Also providing additional funds in a loan form by the Government guarantees </w:t>
      </w:r>
      <w:r>
        <w:rPr>
          <w:rFonts w:ascii="Perpetua" w:hAnsi="Perpetua" w:cs="Arial"/>
          <w:color w:val="222222"/>
          <w:sz w:val="26"/>
          <w:szCs w:val="26"/>
        </w:rPr>
        <w:t xml:space="preserve">the </w:t>
      </w:r>
      <w:r w:rsidRPr="001A234F">
        <w:rPr>
          <w:rFonts w:ascii="Perpetua" w:hAnsi="Perpetua" w:cs="Arial"/>
          <w:color w:val="222222"/>
          <w:sz w:val="26"/>
          <w:szCs w:val="26"/>
        </w:rPr>
        <w:t>fulfil</w:t>
      </w:r>
      <w:r>
        <w:rPr>
          <w:rFonts w:ascii="Perpetua" w:hAnsi="Perpetua" w:cs="Arial"/>
          <w:color w:val="222222"/>
          <w:sz w:val="26"/>
          <w:szCs w:val="26"/>
        </w:rPr>
        <w:t>ment of</w:t>
      </w:r>
      <w:r w:rsidRPr="001A234F">
        <w:rPr>
          <w:rFonts w:ascii="Perpetua" w:hAnsi="Perpetua" w:cs="Arial"/>
          <w:color w:val="222222"/>
          <w:sz w:val="26"/>
          <w:szCs w:val="26"/>
        </w:rPr>
        <w:t xml:space="preserve"> the obligations to depositors in case of insurance event but also the repayment of public funds received in the coming years.</w:t>
      </w:r>
    </w:p>
    <w:p w14:paraId="6C19C13A" w14:textId="77777777" w:rsidR="003D0262" w:rsidRPr="001A234F" w:rsidRDefault="003D0262" w:rsidP="003D0262">
      <w:pPr>
        <w:jc w:val="right"/>
        <w:rPr>
          <w:sz w:val="24"/>
          <w:szCs w:val="24"/>
        </w:rPr>
      </w:pPr>
    </w:p>
    <w:p w14:paraId="3316AC68" w14:textId="77777777" w:rsidR="003D0262" w:rsidRDefault="003D0262" w:rsidP="00647478">
      <w:pPr>
        <w:spacing w:after="0"/>
        <w:jc w:val="both"/>
        <w:rPr>
          <w:rFonts w:ascii="Perpetua" w:hAnsi="Perpetua"/>
          <w:sz w:val="26"/>
          <w:szCs w:val="26"/>
        </w:rPr>
        <w:sectPr w:rsidR="003D0262" w:rsidSect="00885ECE">
          <w:pgSz w:w="12240" w:h="15840"/>
          <w:pgMar w:top="1440" w:right="1440" w:bottom="1440" w:left="1440" w:header="708" w:footer="708" w:gutter="0"/>
          <w:cols w:space="708"/>
          <w:docGrid w:linePitch="360"/>
        </w:sectPr>
      </w:pPr>
    </w:p>
    <w:p w14:paraId="07E0DFA3" w14:textId="77777777" w:rsidR="003D0262" w:rsidRPr="00C4446C" w:rsidRDefault="003D0262" w:rsidP="003D0262">
      <w:pPr>
        <w:pStyle w:val="Heading1"/>
        <w:spacing w:after="240"/>
        <w:rPr>
          <w:rFonts w:ascii="Perpetua" w:hAnsi="Perpetua"/>
          <w:b/>
          <w:color w:val="auto"/>
        </w:rPr>
      </w:pPr>
      <w:bookmarkStart w:id="70" w:name="_Toc442780640"/>
      <w:bookmarkStart w:id="71" w:name="_Toc443399215"/>
      <w:bookmarkStart w:id="72" w:name="_Toc487804086"/>
      <w:r w:rsidRPr="00C4446C">
        <w:rPr>
          <w:rFonts w:ascii="Perpetua" w:eastAsiaTheme="minorHAnsi" w:hAnsi="Perpetua"/>
          <w:b/>
          <w:color w:val="auto"/>
        </w:rPr>
        <w:lastRenderedPageBreak/>
        <w:t>Section 5</w:t>
      </w:r>
      <w:r w:rsidRPr="00C4446C">
        <w:rPr>
          <w:rFonts w:ascii="Perpetua" w:hAnsi="Perpetua"/>
          <w:b/>
          <w:color w:val="auto"/>
        </w:rPr>
        <w:t xml:space="preserve"> –</w:t>
      </w:r>
      <w:r w:rsidRPr="00C4446C">
        <w:rPr>
          <w:rFonts w:ascii="Perpetua" w:hAnsi="Perpetua"/>
          <w:b/>
          <w:color w:val="auto"/>
          <w:u w:val="thick" w:color="FF0000"/>
        </w:rPr>
        <w:t>Governance of the Agency</w:t>
      </w:r>
      <w:bookmarkEnd w:id="70"/>
      <w:bookmarkEnd w:id="72"/>
      <w:r w:rsidRPr="00C4446C">
        <w:rPr>
          <w:rFonts w:ascii="Perpetua" w:hAnsi="Perpetua"/>
          <w:b/>
          <w:color w:val="auto"/>
        </w:rPr>
        <w:t xml:space="preserve"> </w:t>
      </w:r>
      <w:bookmarkEnd w:id="71"/>
    </w:p>
    <w:p w14:paraId="58F01920" w14:textId="77777777" w:rsidR="003D0262" w:rsidRPr="00C4446C" w:rsidRDefault="003D0262" w:rsidP="003D0262">
      <w:pPr>
        <w:pStyle w:val="Heading2"/>
        <w:keepLines/>
        <w:numPr>
          <w:ilvl w:val="1"/>
          <w:numId w:val="10"/>
        </w:numPr>
        <w:spacing w:line="259" w:lineRule="auto"/>
        <w:rPr>
          <w:rFonts w:ascii="Perpetua" w:hAnsi="Perpetua"/>
          <w:b/>
          <w:color w:val="FF0000"/>
          <w:sz w:val="28"/>
        </w:rPr>
      </w:pPr>
      <w:bookmarkStart w:id="73" w:name="_Toc442780067"/>
      <w:bookmarkStart w:id="74" w:name="_Toc442780135"/>
      <w:bookmarkStart w:id="75" w:name="_Toc442780216"/>
      <w:bookmarkStart w:id="76" w:name="_Toc442780641"/>
      <w:bookmarkStart w:id="77" w:name="_Toc442780866"/>
      <w:bookmarkStart w:id="78" w:name="_Toc442784968"/>
      <w:bookmarkStart w:id="79" w:name="_Toc442785399"/>
      <w:bookmarkStart w:id="80" w:name="_Toc442785463"/>
      <w:bookmarkStart w:id="81" w:name="_Toc442785551"/>
      <w:bookmarkStart w:id="82" w:name="_Toc442780642"/>
      <w:bookmarkStart w:id="83" w:name="_Toc443399216"/>
      <w:bookmarkStart w:id="84" w:name="_Toc487804087"/>
      <w:bookmarkEnd w:id="73"/>
      <w:bookmarkEnd w:id="74"/>
      <w:bookmarkEnd w:id="75"/>
      <w:bookmarkEnd w:id="76"/>
      <w:bookmarkEnd w:id="77"/>
      <w:bookmarkEnd w:id="78"/>
      <w:bookmarkEnd w:id="79"/>
      <w:bookmarkEnd w:id="80"/>
      <w:bookmarkEnd w:id="81"/>
      <w:r>
        <w:rPr>
          <w:rFonts w:ascii="Perpetua" w:hAnsi="Perpetua"/>
          <w:b/>
          <w:color w:val="FF0000"/>
          <w:sz w:val="28"/>
        </w:rPr>
        <w:t>Board of Directors</w:t>
      </w:r>
      <w:bookmarkEnd w:id="82"/>
      <w:bookmarkEnd w:id="83"/>
      <w:bookmarkEnd w:id="84"/>
    </w:p>
    <w:p w14:paraId="0E00C136" w14:textId="77777777" w:rsidR="003D0262" w:rsidRDefault="003D0262" w:rsidP="003D0262">
      <w:pPr>
        <w:pStyle w:val="ListParagraph"/>
        <w:autoSpaceDE w:val="0"/>
        <w:autoSpaceDN w:val="0"/>
        <w:adjustRightInd w:val="0"/>
        <w:spacing w:before="240" w:after="240" w:line="276" w:lineRule="auto"/>
        <w:ind w:left="0"/>
        <w:jc w:val="both"/>
        <w:rPr>
          <w:rFonts w:ascii="Perpetua" w:hAnsi="Perpetua" w:cs="Calibri"/>
          <w:color w:val="000000"/>
          <w:sz w:val="26"/>
          <w:szCs w:val="26"/>
        </w:rPr>
      </w:pPr>
      <w:r>
        <w:rPr>
          <w:rFonts w:ascii="Perpetua" w:hAnsi="Perpetua" w:cs="Calibri"/>
          <w:color w:val="000000"/>
          <w:sz w:val="26"/>
          <w:szCs w:val="26"/>
        </w:rPr>
        <w:t xml:space="preserve">The Albanian Deposit Insurance Agency Board of Directors is the highest decision-making body responsible for the governance and operational aspects of the organization. </w:t>
      </w:r>
    </w:p>
    <w:p w14:paraId="4E00ED43" w14:textId="77777777" w:rsidR="003D0262" w:rsidRPr="00C4446C" w:rsidRDefault="003D0262" w:rsidP="003D0262">
      <w:pPr>
        <w:pStyle w:val="ListParagraph"/>
        <w:autoSpaceDE w:val="0"/>
        <w:autoSpaceDN w:val="0"/>
        <w:adjustRightInd w:val="0"/>
        <w:spacing w:after="240" w:line="276" w:lineRule="auto"/>
        <w:ind w:left="0"/>
        <w:jc w:val="both"/>
        <w:rPr>
          <w:rFonts w:ascii="Perpetua" w:hAnsi="Perpetua" w:cs="Calibri"/>
          <w:color w:val="000000"/>
          <w:sz w:val="18"/>
          <w:szCs w:val="26"/>
        </w:rPr>
      </w:pPr>
    </w:p>
    <w:p w14:paraId="149B0978" w14:textId="77777777" w:rsidR="003D0262" w:rsidRPr="00C4446C" w:rsidRDefault="003D0262" w:rsidP="003D0262">
      <w:pPr>
        <w:pStyle w:val="ListParagraph"/>
        <w:autoSpaceDE w:val="0"/>
        <w:autoSpaceDN w:val="0"/>
        <w:adjustRightInd w:val="0"/>
        <w:spacing w:after="240" w:line="276" w:lineRule="auto"/>
        <w:ind w:left="0"/>
        <w:jc w:val="both"/>
        <w:rPr>
          <w:rFonts w:ascii="Perpetua" w:hAnsi="Perpetua" w:cs="Calibri"/>
          <w:color w:val="000000"/>
          <w:sz w:val="26"/>
          <w:szCs w:val="26"/>
        </w:rPr>
      </w:pPr>
      <w:r>
        <w:rPr>
          <w:rFonts w:ascii="Perpetua" w:hAnsi="Perpetua" w:cs="Calibri"/>
          <w:color w:val="000000"/>
          <w:sz w:val="26"/>
          <w:szCs w:val="26"/>
        </w:rPr>
        <w:t>The Board’s activity during 2015 was carried out in accordance with the provisions determined by the Law “On deposit insurance</w:t>
      </w:r>
      <w:r w:rsidRPr="00C4446C">
        <w:rPr>
          <w:rFonts w:ascii="Perpetua" w:hAnsi="Perpetua" w:cs="Calibri"/>
          <w:color w:val="000000"/>
          <w:sz w:val="26"/>
          <w:szCs w:val="26"/>
        </w:rPr>
        <w:t>”, Statut</w:t>
      </w:r>
      <w:r>
        <w:rPr>
          <w:rFonts w:ascii="Perpetua" w:hAnsi="Perpetua" w:cs="Calibri"/>
          <w:color w:val="000000"/>
          <w:sz w:val="26"/>
          <w:szCs w:val="26"/>
        </w:rPr>
        <w:t>e of Albanian Deposit Insurance Agency, R</w:t>
      </w:r>
      <w:r w:rsidRPr="00C4446C">
        <w:rPr>
          <w:rFonts w:ascii="Perpetua" w:hAnsi="Perpetua" w:cs="Calibri"/>
          <w:color w:val="000000"/>
          <w:sz w:val="26"/>
          <w:szCs w:val="26"/>
        </w:rPr>
        <w:t>egul</w:t>
      </w:r>
      <w:r>
        <w:rPr>
          <w:rFonts w:ascii="Perpetua" w:hAnsi="Perpetua" w:cs="Calibri"/>
          <w:color w:val="000000"/>
          <w:sz w:val="26"/>
          <w:szCs w:val="26"/>
        </w:rPr>
        <w:t>ation</w:t>
      </w:r>
      <w:r w:rsidRPr="00C4446C">
        <w:rPr>
          <w:rFonts w:ascii="Perpetua" w:hAnsi="Perpetua" w:cs="Calibri"/>
          <w:color w:val="000000"/>
          <w:sz w:val="26"/>
          <w:szCs w:val="26"/>
        </w:rPr>
        <w:t xml:space="preserve"> “</w:t>
      </w:r>
      <w:r>
        <w:rPr>
          <w:rFonts w:ascii="Perpetua" w:hAnsi="Perpetua" w:cs="Calibri"/>
          <w:color w:val="000000"/>
          <w:sz w:val="26"/>
          <w:szCs w:val="26"/>
        </w:rPr>
        <w:t>On the rules and procedures for the meetings of the Albanian Deposit Insurance Agency Board of Directors” and the legislation in force for the Collegial Bodies.</w:t>
      </w:r>
    </w:p>
    <w:p w14:paraId="1AC70A2D" w14:textId="77777777" w:rsidR="003D0262" w:rsidRPr="00C4446C" w:rsidRDefault="003D0262" w:rsidP="003D0262">
      <w:pPr>
        <w:pStyle w:val="ListParagraph"/>
        <w:autoSpaceDE w:val="0"/>
        <w:autoSpaceDN w:val="0"/>
        <w:adjustRightInd w:val="0"/>
        <w:spacing w:after="240" w:line="276" w:lineRule="auto"/>
        <w:ind w:left="0"/>
        <w:jc w:val="both"/>
        <w:rPr>
          <w:rFonts w:ascii="Perpetua" w:hAnsi="Perpetua" w:cs="Calibri"/>
          <w:color w:val="000000"/>
          <w:sz w:val="18"/>
          <w:szCs w:val="26"/>
        </w:rPr>
      </w:pPr>
    </w:p>
    <w:p w14:paraId="60DE220F" w14:textId="77777777" w:rsidR="003D0262" w:rsidRPr="00C4446C" w:rsidRDefault="003D0262" w:rsidP="003D0262">
      <w:pPr>
        <w:pStyle w:val="ListParagraph"/>
        <w:autoSpaceDE w:val="0"/>
        <w:autoSpaceDN w:val="0"/>
        <w:adjustRightInd w:val="0"/>
        <w:spacing w:before="240" w:after="240" w:line="276" w:lineRule="auto"/>
        <w:ind w:left="0"/>
        <w:jc w:val="both"/>
        <w:rPr>
          <w:rFonts w:ascii="Perpetua" w:hAnsi="Perpetua" w:cs="Calibri"/>
          <w:color w:val="000000"/>
          <w:sz w:val="26"/>
          <w:szCs w:val="26"/>
          <w:highlight w:val="yellow"/>
        </w:rPr>
      </w:pPr>
      <w:r>
        <w:rPr>
          <w:rFonts w:ascii="Perpetua" w:hAnsi="Perpetua" w:cs="Calibri"/>
          <w:color w:val="000000"/>
          <w:sz w:val="26"/>
          <w:szCs w:val="26"/>
        </w:rPr>
        <w:t>Members of the Agency Board of Directors are non-executives, with the exception of the member who is appointed in the position of Director General. During 2015 the composition of the Board of Directors underwent a couple of changes.</w:t>
      </w:r>
      <w:r w:rsidRPr="00C4446C">
        <w:rPr>
          <w:rFonts w:ascii="Perpetua" w:hAnsi="Perpetua" w:cs="Calibri"/>
          <w:color w:val="000000"/>
          <w:sz w:val="26"/>
          <w:szCs w:val="26"/>
        </w:rPr>
        <w:t xml:space="preserve"> </w:t>
      </w:r>
      <w:r>
        <w:rPr>
          <w:rFonts w:ascii="Perpetua" w:hAnsi="Perpetua" w:cs="Calibri"/>
          <w:color w:val="000000"/>
          <w:sz w:val="26"/>
          <w:szCs w:val="26"/>
        </w:rPr>
        <w:t xml:space="preserve">Following the resignation of Mr. Toni Gogu (member of the Board and Director General), Mr. </w:t>
      </w:r>
      <w:r w:rsidRPr="00C4446C">
        <w:rPr>
          <w:rFonts w:ascii="Perpetua" w:hAnsi="Perpetua" w:cs="Calibri"/>
          <w:color w:val="000000"/>
          <w:sz w:val="26"/>
          <w:szCs w:val="26"/>
        </w:rPr>
        <w:t xml:space="preserve">Donald Duraj </w:t>
      </w:r>
      <w:r>
        <w:rPr>
          <w:rFonts w:ascii="Perpetua" w:hAnsi="Perpetua" w:cs="Calibri"/>
          <w:color w:val="000000"/>
          <w:sz w:val="26"/>
          <w:szCs w:val="26"/>
        </w:rPr>
        <w:t>was appointed by the Supervisory Authority as the new member of the Board. Consequently he was elected by the Board as its Chairman.</w:t>
      </w:r>
      <w:r w:rsidRPr="00C4446C">
        <w:rPr>
          <w:rFonts w:ascii="Perpetua" w:hAnsi="Perpetua" w:cs="Calibri"/>
          <w:color w:val="000000"/>
          <w:sz w:val="26"/>
          <w:szCs w:val="26"/>
        </w:rPr>
        <w:t xml:space="preserve"> </w:t>
      </w:r>
      <w:r>
        <w:rPr>
          <w:rFonts w:ascii="Perpetua" w:hAnsi="Perpetua" w:cs="Calibri"/>
          <w:color w:val="000000"/>
          <w:sz w:val="26"/>
          <w:szCs w:val="26"/>
        </w:rPr>
        <w:t xml:space="preserve">Mr. </w:t>
      </w:r>
      <w:r w:rsidRPr="00C4446C">
        <w:rPr>
          <w:rFonts w:ascii="Perpetua" w:hAnsi="Perpetua" w:cs="Calibri"/>
          <w:color w:val="000000"/>
          <w:sz w:val="26"/>
          <w:szCs w:val="26"/>
        </w:rPr>
        <w:t xml:space="preserve">Genci Mamani, </w:t>
      </w:r>
      <w:r>
        <w:rPr>
          <w:rFonts w:ascii="Perpetua" w:hAnsi="Perpetua" w:cs="Calibri"/>
          <w:color w:val="000000"/>
          <w:sz w:val="26"/>
          <w:szCs w:val="26"/>
        </w:rPr>
        <w:t>who was serving as Board Chairman, was appointed by the Supervisory Authority as the Director General of the Agency.</w:t>
      </w:r>
      <w:r w:rsidRPr="00C4446C">
        <w:rPr>
          <w:rFonts w:ascii="Perpetua" w:hAnsi="Perpetua" w:cs="Calibri"/>
          <w:color w:val="000000"/>
          <w:sz w:val="26"/>
          <w:szCs w:val="26"/>
        </w:rPr>
        <w:t xml:space="preserve"> </w:t>
      </w:r>
      <w:r>
        <w:rPr>
          <w:rFonts w:ascii="Perpetua" w:hAnsi="Perpetua" w:cs="Calibri"/>
          <w:color w:val="000000"/>
          <w:sz w:val="26"/>
          <w:szCs w:val="26"/>
        </w:rPr>
        <w:t>On this occasion the Agency was visited by the Governor of Bank of Albania, Mr</w:t>
      </w:r>
      <w:r w:rsidRPr="00C4446C">
        <w:rPr>
          <w:rFonts w:ascii="Perpetua" w:hAnsi="Perpetua" w:cs="Calibri"/>
          <w:color w:val="000000"/>
          <w:sz w:val="26"/>
          <w:szCs w:val="26"/>
        </w:rPr>
        <w:t xml:space="preserve">. Gent Sejko. </w:t>
      </w:r>
      <w:r>
        <w:rPr>
          <w:rFonts w:ascii="Perpetua" w:hAnsi="Perpetua" w:cs="Calibri"/>
          <w:color w:val="000000"/>
          <w:sz w:val="26"/>
          <w:szCs w:val="26"/>
        </w:rPr>
        <w:t>This was the first visit of a Banka of Albania Governor in the premises of the Albanian Deposit Insurance Agency</w:t>
      </w:r>
      <w:r w:rsidRPr="00C4446C">
        <w:rPr>
          <w:rFonts w:ascii="Perpetua" w:hAnsi="Perpetua" w:cs="Arial"/>
          <w:sz w:val="28"/>
          <w:szCs w:val="28"/>
        </w:rPr>
        <w:t>.</w:t>
      </w:r>
    </w:p>
    <w:p w14:paraId="44CD7EC1" w14:textId="77777777" w:rsidR="003D0262" w:rsidRPr="00C4446C" w:rsidRDefault="003D0262" w:rsidP="003D0262">
      <w:pPr>
        <w:pStyle w:val="ListParagraph"/>
        <w:autoSpaceDE w:val="0"/>
        <w:autoSpaceDN w:val="0"/>
        <w:adjustRightInd w:val="0"/>
        <w:spacing w:before="240" w:after="240" w:line="276" w:lineRule="auto"/>
        <w:ind w:left="0"/>
        <w:jc w:val="both"/>
        <w:rPr>
          <w:rFonts w:ascii="Perpetua" w:hAnsi="Perpetua" w:cs="Calibri"/>
          <w:color w:val="000000"/>
          <w:sz w:val="26"/>
          <w:szCs w:val="26"/>
        </w:rPr>
      </w:pPr>
    </w:p>
    <w:p w14:paraId="1A847BC5" w14:textId="77777777" w:rsidR="003D0262" w:rsidRPr="00C4446C" w:rsidRDefault="003D0262" w:rsidP="003D0262">
      <w:pPr>
        <w:pStyle w:val="ListParagraph"/>
        <w:autoSpaceDE w:val="0"/>
        <w:autoSpaceDN w:val="0"/>
        <w:adjustRightInd w:val="0"/>
        <w:spacing w:before="240" w:after="240" w:line="276" w:lineRule="auto"/>
        <w:ind w:left="0"/>
        <w:jc w:val="center"/>
        <w:rPr>
          <w:lang w:eastAsia="en-GB"/>
        </w:rPr>
      </w:pPr>
      <w:r w:rsidRPr="00C4446C">
        <w:rPr>
          <w:noProof/>
          <w:lang w:eastAsia="en-GB"/>
        </w:rPr>
        <w:drawing>
          <wp:inline distT="0" distB="0" distL="0" distR="0" wp14:anchorId="30AC33E5" wp14:editId="594F9A34">
            <wp:extent cx="3657600" cy="2852344"/>
            <wp:effectExtent l="76200" t="76200" r="133350" b="139065"/>
            <wp:docPr id="35" name="Picture 35" descr="C:\Users\mblushi\AppData\Local\Microsoft\Windows\Temporary Internet Files\Content.Word\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lushi\AppData\Local\Microsoft\Windows\Temporary Internet Files\Content.Word\IMG_8739.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5456" t="6797" r="21890" b="6324"/>
                    <a:stretch/>
                  </pic:blipFill>
                  <pic:spPr bwMode="auto">
                    <a:xfrm>
                      <a:off x="0" y="0"/>
                      <a:ext cx="3657600" cy="2852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8CFD3F" w14:textId="77777777" w:rsidR="003D0262" w:rsidRDefault="003D0262" w:rsidP="003D0262">
      <w:pPr>
        <w:pStyle w:val="ListParagraph"/>
        <w:autoSpaceDE w:val="0"/>
        <w:autoSpaceDN w:val="0"/>
        <w:adjustRightInd w:val="0"/>
        <w:spacing w:before="240" w:after="240" w:line="276" w:lineRule="auto"/>
        <w:ind w:left="0"/>
        <w:jc w:val="both"/>
        <w:rPr>
          <w:rFonts w:ascii="Perpetua" w:hAnsi="Perpetua" w:cs="Calibri"/>
          <w:color w:val="000000"/>
          <w:sz w:val="26"/>
          <w:szCs w:val="26"/>
        </w:rPr>
      </w:pPr>
    </w:p>
    <w:p w14:paraId="26DC3B12" w14:textId="77777777" w:rsidR="003D0262" w:rsidRPr="00C4446C" w:rsidRDefault="003D0262" w:rsidP="003D0262">
      <w:pPr>
        <w:pStyle w:val="ListParagraph"/>
        <w:autoSpaceDE w:val="0"/>
        <w:autoSpaceDN w:val="0"/>
        <w:adjustRightInd w:val="0"/>
        <w:spacing w:before="240" w:after="240" w:line="276" w:lineRule="auto"/>
        <w:ind w:left="0"/>
        <w:jc w:val="both"/>
        <w:rPr>
          <w:rFonts w:ascii="Perpetua" w:hAnsi="Perpetua" w:cs="Calibri"/>
          <w:color w:val="000000"/>
          <w:sz w:val="26"/>
          <w:szCs w:val="26"/>
        </w:rPr>
      </w:pPr>
      <w:r w:rsidRPr="00A41B7F">
        <w:rPr>
          <w:rFonts w:ascii="Perpetua" w:hAnsi="Perpetua" w:cs="Calibri"/>
          <w:color w:val="000000"/>
          <w:sz w:val="26"/>
          <w:szCs w:val="26"/>
        </w:rPr>
        <w:lastRenderedPageBreak/>
        <w:t>Members of the Board of Directors of the Agency are named for a term of 5 (five) years and may be re-elected based on the performance indicators of their activity.</w:t>
      </w:r>
      <w:r>
        <w:rPr>
          <w:rFonts w:ascii="Perpetua" w:hAnsi="Perpetua" w:cs="Calibri"/>
          <w:color w:val="000000"/>
          <w:sz w:val="26"/>
          <w:szCs w:val="26"/>
        </w:rPr>
        <w:t xml:space="preserve"> </w:t>
      </w:r>
    </w:p>
    <w:p w14:paraId="69D2EB91" w14:textId="77777777" w:rsidR="003D0262" w:rsidRPr="00C4446C" w:rsidRDefault="003D0262" w:rsidP="003D0262">
      <w:pPr>
        <w:autoSpaceDE w:val="0"/>
        <w:autoSpaceDN w:val="0"/>
        <w:adjustRightInd w:val="0"/>
        <w:spacing w:after="240" w:line="276" w:lineRule="auto"/>
        <w:jc w:val="both"/>
        <w:rPr>
          <w:rFonts w:ascii="Perpetua" w:hAnsi="Perpetua" w:cs="Calibri"/>
          <w:color w:val="000000"/>
          <w:sz w:val="26"/>
          <w:szCs w:val="26"/>
        </w:rPr>
      </w:pPr>
      <w:r>
        <w:rPr>
          <w:rFonts w:ascii="Perpetua" w:hAnsi="Perpetua" w:cs="Calibri"/>
          <w:color w:val="000000"/>
          <w:sz w:val="26"/>
          <w:szCs w:val="26"/>
        </w:rPr>
        <w:t xml:space="preserve">The board of Directors is composed of </w:t>
      </w:r>
      <w:r w:rsidRPr="00A41B7F">
        <w:rPr>
          <w:rFonts w:ascii="Perpetua" w:hAnsi="Perpetua" w:cs="Calibri"/>
          <w:color w:val="000000"/>
          <w:sz w:val="26"/>
          <w:szCs w:val="26"/>
        </w:rPr>
        <w:t>5 (five</w:t>
      </w:r>
      <w:r>
        <w:rPr>
          <w:rFonts w:ascii="Perpetua" w:hAnsi="Perpetua" w:cs="Calibri"/>
          <w:color w:val="000000"/>
          <w:sz w:val="26"/>
          <w:szCs w:val="26"/>
        </w:rPr>
        <w:t>) members appointed by the Supervisory Authority and proposed as follows</w:t>
      </w:r>
      <w:r w:rsidRPr="00C4446C">
        <w:rPr>
          <w:rFonts w:ascii="Perpetua" w:hAnsi="Perpetua" w:cs="Calibri"/>
          <w:color w:val="000000"/>
          <w:sz w:val="26"/>
          <w:szCs w:val="26"/>
        </w:rPr>
        <w:t xml:space="preserve">: </w:t>
      </w:r>
    </w:p>
    <w:tbl>
      <w:tblPr>
        <w:tblW w:w="9214" w:type="dxa"/>
        <w:jc w:val="center"/>
        <w:tblBorders>
          <w:bottom w:val="single" w:sz="18" w:space="0" w:color="FF0000"/>
          <w:insideH w:val="dashSmallGap" w:sz="4" w:space="0" w:color="FF0000"/>
        </w:tblBorders>
        <w:tblLayout w:type="fixed"/>
        <w:tblLook w:val="04A0" w:firstRow="1" w:lastRow="0" w:firstColumn="1" w:lastColumn="0" w:noHBand="0" w:noVBand="1"/>
      </w:tblPr>
      <w:tblGrid>
        <w:gridCol w:w="3268"/>
        <w:gridCol w:w="2556"/>
        <w:gridCol w:w="3390"/>
      </w:tblGrid>
      <w:tr w:rsidR="003D0262" w:rsidRPr="00C4446C" w14:paraId="26C60D08" w14:textId="77777777" w:rsidTr="00A05F28">
        <w:trPr>
          <w:trHeight w:val="379"/>
          <w:jc w:val="center"/>
        </w:trPr>
        <w:tc>
          <w:tcPr>
            <w:tcW w:w="3268" w:type="dxa"/>
            <w:tcBorders>
              <w:top w:val="single" w:sz="18" w:space="0" w:color="FF0000"/>
              <w:bottom w:val="single" w:sz="18" w:space="0" w:color="FF0000"/>
            </w:tcBorders>
            <w:shd w:val="clear" w:color="auto" w:fill="808080"/>
            <w:noWrap/>
            <w:vAlign w:val="center"/>
            <w:hideMark/>
          </w:tcPr>
          <w:p w14:paraId="5BA40532" w14:textId="77777777" w:rsidR="003D0262" w:rsidRPr="00C4446C" w:rsidRDefault="003D0262" w:rsidP="00A05F28">
            <w:pPr>
              <w:spacing w:after="0" w:line="276" w:lineRule="auto"/>
              <w:jc w:val="center"/>
              <w:rPr>
                <w:rFonts w:ascii="Perpetua" w:hAnsi="Perpetua" w:cs="Calibri"/>
                <w:b/>
                <w:bCs/>
                <w:color w:val="FFFFFF"/>
                <w:sz w:val="24"/>
                <w:szCs w:val="26"/>
              </w:rPr>
            </w:pPr>
            <w:r>
              <w:rPr>
                <w:rFonts w:ascii="Perpetua" w:hAnsi="Perpetua" w:cs="Calibri"/>
                <w:b/>
                <w:bCs/>
                <w:color w:val="FFFFFF"/>
                <w:sz w:val="24"/>
                <w:szCs w:val="26"/>
              </w:rPr>
              <w:t xml:space="preserve">BOARD OF DIRECTORS </w:t>
            </w:r>
          </w:p>
        </w:tc>
        <w:tc>
          <w:tcPr>
            <w:tcW w:w="2556" w:type="dxa"/>
            <w:tcBorders>
              <w:top w:val="single" w:sz="18" w:space="0" w:color="FF0000"/>
              <w:bottom w:val="single" w:sz="18" w:space="0" w:color="FF0000"/>
            </w:tcBorders>
            <w:shd w:val="clear" w:color="auto" w:fill="808080"/>
            <w:noWrap/>
            <w:vAlign w:val="center"/>
            <w:hideMark/>
          </w:tcPr>
          <w:p w14:paraId="3E68421B" w14:textId="77777777" w:rsidR="003D0262" w:rsidRPr="00C4446C" w:rsidRDefault="003D0262" w:rsidP="00A05F28">
            <w:pPr>
              <w:spacing w:after="0" w:line="276" w:lineRule="auto"/>
              <w:jc w:val="center"/>
              <w:rPr>
                <w:rFonts w:ascii="Perpetua" w:hAnsi="Perpetua" w:cs="Calibri"/>
                <w:b/>
                <w:bCs/>
                <w:color w:val="FFFFFF"/>
                <w:sz w:val="24"/>
                <w:szCs w:val="26"/>
              </w:rPr>
            </w:pPr>
            <w:r>
              <w:rPr>
                <w:rFonts w:ascii="Perpetua" w:hAnsi="Perpetua" w:cs="Calibri"/>
                <w:b/>
                <w:bCs/>
                <w:color w:val="FFFFFF"/>
                <w:sz w:val="24"/>
                <w:szCs w:val="26"/>
              </w:rPr>
              <w:t>ROLE</w:t>
            </w:r>
          </w:p>
        </w:tc>
        <w:tc>
          <w:tcPr>
            <w:tcW w:w="3390" w:type="dxa"/>
            <w:tcBorders>
              <w:top w:val="single" w:sz="18" w:space="0" w:color="FF0000"/>
              <w:bottom w:val="single" w:sz="18" w:space="0" w:color="FF0000"/>
            </w:tcBorders>
            <w:shd w:val="clear" w:color="auto" w:fill="808080"/>
            <w:noWrap/>
            <w:vAlign w:val="center"/>
            <w:hideMark/>
          </w:tcPr>
          <w:p w14:paraId="40BCD1B6" w14:textId="77777777" w:rsidR="003D0262" w:rsidRPr="00C4446C" w:rsidRDefault="003D0262" w:rsidP="00A05F28">
            <w:pPr>
              <w:spacing w:after="0" w:line="276" w:lineRule="auto"/>
              <w:jc w:val="center"/>
              <w:rPr>
                <w:rFonts w:ascii="Perpetua" w:hAnsi="Perpetua" w:cs="Calibri"/>
                <w:b/>
                <w:bCs/>
                <w:color w:val="FFFFFF"/>
                <w:sz w:val="24"/>
                <w:szCs w:val="26"/>
              </w:rPr>
            </w:pPr>
            <w:r w:rsidRPr="00A41B7F">
              <w:rPr>
                <w:rFonts w:ascii="Perpetua" w:hAnsi="Perpetua" w:cs="Calibri"/>
                <w:b/>
                <w:bCs/>
                <w:color w:val="FFFFFF"/>
                <w:sz w:val="24"/>
                <w:szCs w:val="26"/>
              </w:rPr>
              <w:t>PROPOSING INSTITUTION</w:t>
            </w:r>
          </w:p>
        </w:tc>
      </w:tr>
      <w:tr w:rsidR="003D0262" w:rsidRPr="00C4446C" w14:paraId="0EFC4D17" w14:textId="77777777" w:rsidTr="00A05F28">
        <w:trPr>
          <w:trHeight w:val="375"/>
          <w:jc w:val="center"/>
        </w:trPr>
        <w:tc>
          <w:tcPr>
            <w:tcW w:w="3268" w:type="dxa"/>
            <w:tcBorders>
              <w:top w:val="single" w:sz="18" w:space="0" w:color="FF0000"/>
              <w:bottom w:val="single" w:sz="8" w:space="0" w:color="FF0000"/>
            </w:tcBorders>
            <w:shd w:val="clear" w:color="auto" w:fill="auto"/>
            <w:vAlign w:val="center"/>
            <w:hideMark/>
          </w:tcPr>
          <w:p w14:paraId="16EEC48D" w14:textId="77777777" w:rsidR="003D0262" w:rsidRPr="00C4446C" w:rsidRDefault="003D0262" w:rsidP="00A05F28">
            <w:pPr>
              <w:spacing w:after="0" w:line="276" w:lineRule="auto"/>
              <w:jc w:val="center"/>
              <w:rPr>
                <w:rFonts w:ascii="Perpetua" w:hAnsi="Perpetua" w:cs="Calibri"/>
                <w:bCs/>
                <w:color w:val="000000"/>
                <w:sz w:val="26"/>
                <w:szCs w:val="26"/>
              </w:rPr>
            </w:pPr>
            <w:r w:rsidRPr="00C4446C">
              <w:rPr>
                <w:rFonts w:ascii="Perpetua" w:hAnsi="Perpetua" w:cs="Calibri"/>
                <w:bCs/>
                <w:color w:val="000000"/>
                <w:sz w:val="26"/>
                <w:szCs w:val="26"/>
              </w:rPr>
              <w:t>Donald Duraj</w:t>
            </w:r>
            <w:r w:rsidRPr="00C4446C">
              <w:rPr>
                <w:rStyle w:val="FootnoteReference"/>
                <w:rFonts w:ascii="Perpetua" w:hAnsi="Perpetua" w:cs="Calibri"/>
                <w:bCs/>
                <w:color w:val="000000"/>
                <w:sz w:val="26"/>
                <w:szCs w:val="26"/>
              </w:rPr>
              <w:footnoteReference w:id="2"/>
            </w:r>
          </w:p>
        </w:tc>
        <w:tc>
          <w:tcPr>
            <w:tcW w:w="2556" w:type="dxa"/>
            <w:tcBorders>
              <w:top w:val="single" w:sz="18" w:space="0" w:color="FF0000"/>
              <w:bottom w:val="single" w:sz="8" w:space="0" w:color="FF0000"/>
            </w:tcBorders>
            <w:shd w:val="clear" w:color="auto" w:fill="auto"/>
            <w:vAlign w:val="center"/>
            <w:hideMark/>
          </w:tcPr>
          <w:p w14:paraId="60F70420" w14:textId="77777777" w:rsidR="003D0262" w:rsidRPr="00C4446C" w:rsidRDefault="003D0262" w:rsidP="00A05F28">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Chairman</w:t>
            </w:r>
          </w:p>
        </w:tc>
        <w:tc>
          <w:tcPr>
            <w:tcW w:w="3390" w:type="dxa"/>
            <w:tcBorders>
              <w:top w:val="single" w:sz="18" w:space="0" w:color="FF0000"/>
              <w:bottom w:val="single" w:sz="8" w:space="0" w:color="FF0000"/>
            </w:tcBorders>
            <w:shd w:val="clear" w:color="auto" w:fill="auto"/>
            <w:noWrap/>
            <w:vAlign w:val="center"/>
            <w:hideMark/>
          </w:tcPr>
          <w:p w14:paraId="7F663496" w14:textId="77777777" w:rsidR="003D0262" w:rsidRPr="00C4446C" w:rsidRDefault="003D0262" w:rsidP="00A05F28">
            <w:pPr>
              <w:spacing w:after="0" w:line="276" w:lineRule="auto"/>
              <w:jc w:val="center"/>
              <w:rPr>
                <w:rFonts w:ascii="Perpetua" w:hAnsi="Perpetua" w:cs="Calibri"/>
                <w:bCs/>
                <w:color w:val="000000"/>
                <w:sz w:val="26"/>
                <w:szCs w:val="26"/>
              </w:rPr>
            </w:pPr>
            <w:r w:rsidRPr="00C4446C">
              <w:rPr>
                <w:rFonts w:ascii="Perpetua" w:hAnsi="Perpetua" w:cs="Calibri"/>
                <w:bCs/>
                <w:color w:val="000000"/>
                <w:sz w:val="26"/>
                <w:szCs w:val="26"/>
              </w:rPr>
              <w:t>Bank</w:t>
            </w:r>
            <w:r>
              <w:rPr>
                <w:rFonts w:ascii="Perpetua" w:hAnsi="Perpetua" w:cs="Calibri"/>
                <w:bCs/>
                <w:color w:val="000000"/>
                <w:sz w:val="26"/>
                <w:szCs w:val="26"/>
              </w:rPr>
              <w:t xml:space="preserve"> of Albania</w:t>
            </w:r>
          </w:p>
        </w:tc>
      </w:tr>
      <w:tr w:rsidR="003D0262" w:rsidRPr="00C4446C" w14:paraId="301196B1" w14:textId="77777777" w:rsidTr="00A05F28">
        <w:trPr>
          <w:trHeight w:val="399"/>
          <w:jc w:val="center"/>
        </w:trPr>
        <w:tc>
          <w:tcPr>
            <w:tcW w:w="3268" w:type="dxa"/>
            <w:tcBorders>
              <w:top w:val="single" w:sz="8" w:space="0" w:color="FF0000"/>
              <w:bottom w:val="single" w:sz="8" w:space="0" w:color="FF0000"/>
            </w:tcBorders>
            <w:shd w:val="clear" w:color="auto" w:fill="auto"/>
            <w:vAlign w:val="center"/>
            <w:hideMark/>
          </w:tcPr>
          <w:p w14:paraId="002622BB" w14:textId="77777777" w:rsidR="003D0262" w:rsidRPr="00C4446C" w:rsidRDefault="003D0262" w:rsidP="00A05F28">
            <w:pPr>
              <w:spacing w:after="0" w:line="276" w:lineRule="auto"/>
              <w:jc w:val="center"/>
              <w:rPr>
                <w:rFonts w:ascii="Perpetua" w:hAnsi="Perpetua" w:cs="Calibri"/>
                <w:bCs/>
                <w:color w:val="000000"/>
                <w:sz w:val="26"/>
                <w:szCs w:val="26"/>
              </w:rPr>
            </w:pPr>
            <w:r w:rsidRPr="00C4446C">
              <w:rPr>
                <w:rFonts w:ascii="Perpetua" w:hAnsi="Perpetua" w:cs="Calibri"/>
                <w:bCs/>
                <w:color w:val="000000"/>
                <w:sz w:val="26"/>
                <w:szCs w:val="26"/>
              </w:rPr>
              <w:t>Genci Mamani</w:t>
            </w:r>
            <w:r w:rsidRPr="00C4446C">
              <w:rPr>
                <w:rStyle w:val="FootnoteReference"/>
                <w:rFonts w:ascii="Perpetua" w:hAnsi="Perpetua" w:cs="Calibri"/>
                <w:bCs/>
                <w:color w:val="000000"/>
                <w:sz w:val="26"/>
                <w:szCs w:val="26"/>
              </w:rPr>
              <w:footnoteReference w:id="3"/>
            </w:r>
          </w:p>
        </w:tc>
        <w:tc>
          <w:tcPr>
            <w:tcW w:w="2556" w:type="dxa"/>
            <w:tcBorders>
              <w:top w:val="single" w:sz="8" w:space="0" w:color="FF0000"/>
              <w:bottom w:val="single" w:sz="8" w:space="0" w:color="FF0000"/>
            </w:tcBorders>
            <w:shd w:val="clear" w:color="auto" w:fill="auto"/>
            <w:vAlign w:val="center"/>
            <w:hideMark/>
          </w:tcPr>
          <w:p w14:paraId="520F1C53" w14:textId="77777777" w:rsidR="003D0262" w:rsidRPr="00C4446C" w:rsidRDefault="003D0262" w:rsidP="00A05F28">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Member</w:t>
            </w:r>
          </w:p>
        </w:tc>
        <w:tc>
          <w:tcPr>
            <w:tcW w:w="3390" w:type="dxa"/>
            <w:tcBorders>
              <w:top w:val="single" w:sz="8" w:space="0" w:color="FF0000"/>
              <w:bottom w:val="single" w:sz="8" w:space="0" w:color="FF0000"/>
            </w:tcBorders>
            <w:shd w:val="clear" w:color="auto" w:fill="auto"/>
            <w:noWrap/>
            <w:vAlign w:val="center"/>
            <w:hideMark/>
          </w:tcPr>
          <w:p w14:paraId="28BE856E" w14:textId="77777777" w:rsidR="003D0262" w:rsidRPr="00C4446C" w:rsidRDefault="003D0262" w:rsidP="00A05F28">
            <w:pPr>
              <w:spacing w:after="0" w:line="276" w:lineRule="auto"/>
              <w:jc w:val="center"/>
              <w:rPr>
                <w:rFonts w:ascii="Perpetua" w:hAnsi="Perpetua" w:cs="Calibri"/>
                <w:bCs/>
                <w:color w:val="000000"/>
                <w:sz w:val="26"/>
                <w:szCs w:val="26"/>
              </w:rPr>
            </w:pPr>
            <w:r w:rsidRPr="00C4446C">
              <w:rPr>
                <w:rFonts w:ascii="Perpetua" w:hAnsi="Perpetua" w:cs="Calibri"/>
                <w:bCs/>
                <w:color w:val="000000"/>
                <w:sz w:val="26"/>
                <w:szCs w:val="26"/>
              </w:rPr>
              <w:t>Bank</w:t>
            </w:r>
            <w:r>
              <w:rPr>
                <w:rFonts w:ascii="Perpetua" w:hAnsi="Perpetua" w:cs="Calibri"/>
                <w:bCs/>
                <w:color w:val="000000"/>
                <w:sz w:val="26"/>
                <w:szCs w:val="26"/>
              </w:rPr>
              <w:t xml:space="preserve"> of Albania</w:t>
            </w:r>
          </w:p>
        </w:tc>
      </w:tr>
      <w:tr w:rsidR="003D0262" w:rsidRPr="00C4446C" w14:paraId="5FE516CD" w14:textId="77777777" w:rsidTr="00A05F28">
        <w:trPr>
          <w:trHeight w:val="394"/>
          <w:jc w:val="center"/>
        </w:trPr>
        <w:tc>
          <w:tcPr>
            <w:tcW w:w="3268" w:type="dxa"/>
            <w:tcBorders>
              <w:top w:val="single" w:sz="8" w:space="0" w:color="FF0000"/>
              <w:bottom w:val="single" w:sz="8" w:space="0" w:color="FF0000"/>
            </w:tcBorders>
            <w:shd w:val="clear" w:color="auto" w:fill="auto"/>
            <w:vAlign w:val="center"/>
            <w:hideMark/>
          </w:tcPr>
          <w:p w14:paraId="2DCED3F3" w14:textId="77777777" w:rsidR="003D0262" w:rsidRPr="00C4446C" w:rsidRDefault="003D0262" w:rsidP="00A05F28">
            <w:pPr>
              <w:spacing w:after="0" w:line="276" w:lineRule="auto"/>
              <w:jc w:val="center"/>
              <w:rPr>
                <w:rFonts w:ascii="Perpetua" w:hAnsi="Perpetua" w:cs="Calibri"/>
                <w:bCs/>
                <w:color w:val="000000"/>
                <w:sz w:val="26"/>
                <w:szCs w:val="26"/>
              </w:rPr>
            </w:pPr>
            <w:r w:rsidRPr="00C4446C">
              <w:rPr>
                <w:rFonts w:ascii="Perpetua" w:hAnsi="Perpetua" w:cs="Calibri"/>
                <w:bCs/>
                <w:color w:val="000000"/>
                <w:sz w:val="26"/>
                <w:szCs w:val="26"/>
              </w:rPr>
              <w:t>Erjon Luçi</w:t>
            </w:r>
          </w:p>
        </w:tc>
        <w:tc>
          <w:tcPr>
            <w:tcW w:w="2556" w:type="dxa"/>
            <w:tcBorders>
              <w:top w:val="single" w:sz="8" w:space="0" w:color="FF0000"/>
              <w:bottom w:val="single" w:sz="8" w:space="0" w:color="FF0000"/>
            </w:tcBorders>
            <w:shd w:val="clear" w:color="auto" w:fill="auto"/>
            <w:vAlign w:val="center"/>
            <w:hideMark/>
          </w:tcPr>
          <w:p w14:paraId="72A5EE56" w14:textId="77777777" w:rsidR="003D0262" w:rsidRPr="00C4446C" w:rsidRDefault="003D0262" w:rsidP="00A05F28">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Member</w:t>
            </w:r>
          </w:p>
        </w:tc>
        <w:tc>
          <w:tcPr>
            <w:tcW w:w="3390" w:type="dxa"/>
            <w:tcBorders>
              <w:top w:val="single" w:sz="8" w:space="0" w:color="FF0000"/>
              <w:bottom w:val="single" w:sz="8" w:space="0" w:color="FF0000"/>
            </w:tcBorders>
            <w:shd w:val="clear" w:color="auto" w:fill="auto"/>
            <w:noWrap/>
            <w:vAlign w:val="center"/>
            <w:hideMark/>
          </w:tcPr>
          <w:p w14:paraId="62B54A02" w14:textId="77777777" w:rsidR="003D0262" w:rsidRPr="00C4446C" w:rsidRDefault="003D0262" w:rsidP="00A05F28">
            <w:pPr>
              <w:spacing w:after="0" w:line="276" w:lineRule="auto"/>
              <w:jc w:val="center"/>
              <w:rPr>
                <w:rFonts w:ascii="Perpetua" w:hAnsi="Perpetua" w:cs="Calibri"/>
                <w:bCs/>
                <w:color w:val="000000"/>
                <w:sz w:val="26"/>
                <w:szCs w:val="26"/>
              </w:rPr>
            </w:pPr>
            <w:r w:rsidRPr="00C4446C">
              <w:rPr>
                <w:rFonts w:ascii="Perpetua" w:hAnsi="Perpetua" w:cs="Calibri"/>
                <w:bCs/>
                <w:color w:val="000000"/>
                <w:sz w:val="26"/>
                <w:szCs w:val="26"/>
              </w:rPr>
              <w:t>Ministr</w:t>
            </w:r>
            <w:r>
              <w:rPr>
                <w:rFonts w:ascii="Perpetua" w:hAnsi="Perpetua" w:cs="Calibri"/>
                <w:bCs/>
                <w:color w:val="000000"/>
                <w:sz w:val="26"/>
                <w:szCs w:val="26"/>
              </w:rPr>
              <w:t>y of Finance</w:t>
            </w:r>
          </w:p>
        </w:tc>
      </w:tr>
      <w:tr w:rsidR="003D0262" w:rsidRPr="00C4446C" w14:paraId="6EC55C0E" w14:textId="77777777" w:rsidTr="00A05F28">
        <w:trPr>
          <w:trHeight w:val="390"/>
          <w:jc w:val="center"/>
        </w:trPr>
        <w:tc>
          <w:tcPr>
            <w:tcW w:w="3268" w:type="dxa"/>
            <w:tcBorders>
              <w:top w:val="single" w:sz="8" w:space="0" w:color="FF0000"/>
              <w:bottom w:val="single" w:sz="8" w:space="0" w:color="FF0000"/>
            </w:tcBorders>
            <w:shd w:val="clear" w:color="auto" w:fill="auto"/>
            <w:vAlign w:val="center"/>
            <w:hideMark/>
          </w:tcPr>
          <w:p w14:paraId="72A89BC6" w14:textId="77777777" w:rsidR="003D0262" w:rsidRPr="00C4446C" w:rsidRDefault="003D0262" w:rsidP="00A05F28">
            <w:pPr>
              <w:spacing w:after="0" w:line="276" w:lineRule="auto"/>
              <w:jc w:val="center"/>
              <w:rPr>
                <w:rFonts w:ascii="Perpetua" w:hAnsi="Perpetua" w:cs="Calibri"/>
                <w:bCs/>
                <w:color w:val="000000"/>
                <w:sz w:val="26"/>
                <w:szCs w:val="26"/>
              </w:rPr>
            </w:pPr>
            <w:r w:rsidRPr="00C4446C">
              <w:rPr>
                <w:rFonts w:ascii="Perpetua" w:hAnsi="Perpetua" w:cs="Calibri"/>
                <w:bCs/>
                <w:color w:val="000000"/>
                <w:sz w:val="26"/>
                <w:szCs w:val="26"/>
              </w:rPr>
              <w:t>Majlinda Dhuka</w:t>
            </w:r>
            <w:r w:rsidRPr="00C4446C">
              <w:rPr>
                <w:rStyle w:val="FootnoteReference"/>
                <w:rFonts w:ascii="Perpetua" w:hAnsi="Perpetua" w:cs="Calibri"/>
                <w:bCs/>
                <w:color w:val="000000"/>
                <w:sz w:val="26"/>
                <w:szCs w:val="26"/>
              </w:rPr>
              <w:footnoteReference w:id="4"/>
            </w:r>
          </w:p>
        </w:tc>
        <w:tc>
          <w:tcPr>
            <w:tcW w:w="2556" w:type="dxa"/>
            <w:tcBorders>
              <w:top w:val="single" w:sz="8" w:space="0" w:color="FF0000"/>
              <w:bottom w:val="single" w:sz="8" w:space="0" w:color="FF0000"/>
            </w:tcBorders>
            <w:shd w:val="clear" w:color="auto" w:fill="auto"/>
            <w:vAlign w:val="center"/>
            <w:hideMark/>
          </w:tcPr>
          <w:p w14:paraId="496CEAF2" w14:textId="77777777" w:rsidR="003D0262" w:rsidRPr="00C4446C" w:rsidRDefault="003D0262" w:rsidP="00A05F28">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Member</w:t>
            </w:r>
          </w:p>
        </w:tc>
        <w:tc>
          <w:tcPr>
            <w:tcW w:w="3390" w:type="dxa"/>
            <w:tcBorders>
              <w:top w:val="single" w:sz="8" w:space="0" w:color="FF0000"/>
              <w:bottom w:val="single" w:sz="8" w:space="0" w:color="FF0000"/>
            </w:tcBorders>
            <w:shd w:val="clear" w:color="auto" w:fill="auto"/>
            <w:noWrap/>
            <w:vAlign w:val="center"/>
            <w:hideMark/>
          </w:tcPr>
          <w:p w14:paraId="727E3508" w14:textId="77777777" w:rsidR="003D0262" w:rsidRPr="00C4446C" w:rsidRDefault="003D0262" w:rsidP="00A05F28">
            <w:pPr>
              <w:spacing w:after="0" w:line="276" w:lineRule="auto"/>
              <w:jc w:val="center"/>
              <w:rPr>
                <w:rFonts w:ascii="Perpetua" w:hAnsi="Perpetua" w:cs="Calibri"/>
                <w:bCs/>
                <w:color w:val="000000"/>
                <w:sz w:val="26"/>
                <w:szCs w:val="26"/>
              </w:rPr>
            </w:pPr>
            <w:r w:rsidRPr="00C4446C">
              <w:rPr>
                <w:rFonts w:ascii="Perpetua" w:hAnsi="Perpetua" w:cs="Calibri"/>
                <w:bCs/>
                <w:color w:val="000000"/>
                <w:sz w:val="26"/>
                <w:szCs w:val="26"/>
              </w:rPr>
              <w:t>Ministr</w:t>
            </w:r>
            <w:r>
              <w:rPr>
                <w:rFonts w:ascii="Perpetua" w:hAnsi="Perpetua" w:cs="Calibri"/>
                <w:bCs/>
                <w:color w:val="000000"/>
                <w:sz w:val="26"/>
                <w:szCs w:val="26"/>
              </w:rPr>
              <w:t>y of Finance</w:t>
            </w:r>
          </w:p>
        </w:tc>
      </w:tr>
      <w:tr w:rsidR="003D0262" w:rsidRPr="00C4446C" w14:paraId="57F05A8E" w14:textId="77777777" w:rsidTr="00A05F28">
        <w:trPr>
          <w:trHeight w:val="77"/>
          <w:jc w:val="center"/>
        </w:trPr>
        <w:tc>
          <w:tcPr>
            <w:tcW w:w="3268" w:type="dxa"/>
            <w:tcBorders>
              <w:top w:val="single" w:sz="8" w:space="0" w:color="FF0000"/>
              <w:bottom w:val="single" w:sz="18" w:space="0" w:color="FF0000"/>
            </w:tcBorders>
            <w:shd w:val="clear" w:color="auto" w:fill="auto"/>
            <w:vAlign w:val="center"/>
            <w:hideMark/>
          </w:tcPr>
          <w:p w14:paraId="24697182" w14:textId="77777777" w:rsidR="003D0262" w:rsidRPr="00C4446C" w:rsidRDefault="003D0262" w:rsidP="00A05F28">
            <w:pPr>
              <w:spacing w:line="276" w:lineRule="auto"/>
              <w:jc w:val="center"/>
              <w:rPr>
                <w:rFonts w:ascii="Perpetua" w:hAnsi="Perpetua" w:cs="Calibri"/>
                <w:bCs/>
                <w:color w:val="000000"/>
                <w:sz w:val="26"/>
                <w:szCs w:val="26"/>
              </w:rPr>
            </w:pPr>
            <w:r w:rsidRPr="00C4446C">
              <w:rPr>
                <w:rFonts w:ascii="Perpetua" w:hAnsi="Perpetua" w:cs="Calibri"/>
                <w:bCs/>
                <w:color w:val="000000"/>
                <w:sz w:val="26"/>
                <w:szCs w:val="26"/>
              </w:rPr>
              <w:t>Doranin Agalliu</w:t>
            </w:r>
          </w:p>
        </w:tc>
        <w:tc>
          <w:tcPr>
            <w:tcW w:w="2556" w:type="dxa"/>
            <w:tcBorders>
              <w:top w:val="single" w:sz="8" w:space="0" w:color="FF0000"/>
              <w:bottom w:val="single" w:sz="18" w:space="0" w:color="FF0000"/>
            </w:tcBorders>
            <w:shd w:val="clear" w:color="auto" w:fill="auto"/>
            <w:vAlign w:val="center"/>
            <w:hideMark/>
          </w:tcPr>
          <w:p w14:paraId="7C345BC5" w14:textId="77777777" w:rsidR="003D0262" w:rsidRPr="00C4446C" w:rsidRDefault="003D0262" w:rsidP="00A05F28">
            <w:pPr>
              <w:spacing w:line="276" w:lineRule="auto"/>
              <w:jc w:val="center"/>
              <w:rPr>
                <w:rFonts w:ascii="Perpetua" w:hAnsi="Perpetua" w:cs="Calibri"/>
                <w:bCs/>
                <w:color w:val="000000"/>
                <w:sz w:val="26"/>
                <w:szCs w:val="26"/>
              </w:rPr>
            </w:pPr>
            <w:r>
              <w:rPr>
                <w:rFonts w:ascii="Perpetua" w:hAnsi="Perpetua" w:cs="Calibri"/>
                <w:bCs/>
                <w:color w:val="000000"/>
                <w:sz w:val="26"/>
                <w:szCs w:val="26"/>
              </w:rPr>
              <w:t>Member</w:t>
            </w:r>
          </w:p>
        </w:tc>
        <w:tc>
          <w:tcPr>
            <w:tcW w:w="3390" w:type="dxa"/>
            <w:tcBorders>
              <w:top w:val="single" w:sz="8" w:space="0" w:color="FF0000"/>
              <w:bottom w:val="single" w:sz="18" w:space="0" w:color="FF0000"/>
            </w:tcBorders>
            <w:shd w:val="clear" w:color="auto" w:fill="auto"/>
            <w:vAlign w:val="center"/>
            <w:hideMark/>
          </w:tcPr>
          <w:p w14:paraId="7FB182B5" w14:textId="77777777" w:rsidR="003D0262" w:rsidRPr="00C4446C" w:rsidRDefault="003D0262" w:rsidP="00A05F28">
            <w:pPr>
              <w:spacing w:after="0" w:line="276" w:lineRule="auto"/>
              <w:jc w:val="center"/>
              <w:rPr>
                <w:rFonts w:ascii="Perpetua" w:hAnsi="Perpetua" w:cs="Calibri"/>
                <w:bCs/>
                <w:color w:val="000000"/>
                <w:sz w:val="26"/>
                <w:szCs w:val="26"/>
              </w:rPr>
            </w:pPr>
            <w:r w:rsidRPr="00A41B7F">
              <w:rPr>
                <w:rFonts w:ascii="Perpetua" w:hAnsi="Perpetua" w:cs="Calibri"/>
                <w:bCs/>
                <w:color w:val="000000"/>
                <w:sz w:val="26"/>
                <w:szCs w:val="26"/>
              </w:rPr>
              <w:t>Authorized Countable Experts Institute (ACEI)</w:t>
            </w:r>
          </w:p>
        </w:tc>
      </w:tr>
    </w:tbl>
    <w:p w14:paraId="3ACEDCB7" w14:textId="77777777" w:rsidR="003D0262" w:rsidRPr="00C4446C" w:rsidRDefault="003D0262" w:rsidP="003D0262">
      <w:pPr>
        <w:autoSpaceDE w:val="0"/>
        <w:autoSpaceDN w:val="0"/>
        <w:adjustRightInd w:val="0"/>
        <w:spacing w:after="0" w:line="276" w:lineRule="auto"/>
        <w:jc w:val="both"/>
        <w:rPr>
          <w:rFonts w:ascii="Perpetua" w:hAnsi="Perpetua" w:cs="Calibri"/>
          <w:color w:val="000000"/>
          <w:sz w:val="26"/>
          <w:szCs w:val="26"/>
        </w:rPr>
      </w:pPr>
    </w:p>
    <w:p w14:paraId="2CF63E3C" w14:textId="77777777" w:rsidR="003D0262" w:rsidRPr="00C4446C" w:rsidRDefault="003D0262" w:rsidP="003D0262">
      <w:pPr>
        <w:autoSpaceDE w:val="0"/>
        <w:autoSpaceDN w:val="0"/>
        <w:adjustRightInd w:val="0"/>
        <w:spacing w:after="240" w:line="276" w:lineRule="auto"/>
        <w:jc w:val="both"/>
        <w:rPr>
          <w:rFonts w:ascii="Perpetua" w:hAnsi="Perpetua" w:cs="Calibri"/>
          <w:color w:val="000000"/>
          <w:sz w:val="26"/>
          <w:szCs w:val="26"/>
        </w:rPr>
      </w:pPr>
      <w:r>
        <w:rPr>
          <w:rFonts w:ascii="Perpetua" w:hAnsi="Perpetua" w:cs="Calibri"/>
          <w:color w:val="000000"/>
          <w:sz w:val="26"/>
          <w:szCs w:val="26"/>
        </w:rPr>
        <w:t xml:space="preserve">In 2015 the Board of Directors carried out </w:t>
      </w:r>
      <w:r w:rsidRPr="00C4446C">
        <w:rPr>
          <w:rFonts w:ascii="Perpetua" w:hAnsi="Perpetua" w:cs="Calibri"/>
          <w:color w:val="000000"/>
          <w:sz w:val="26"/>
          <w:szCs w:val="26"/>
        </w:rPr>
        <w:t>16 m</w:t>
      </w:r>
      <w:r>
        <w:rPr>
          <w:rFonts w:ascii="Perpetua" w:hAnsi="Perpetua" w:cs="Calibri"/>
          <w:color w:val="000000"/>
          <w:sz w:val="26"/>
          <w:szCs w:val="26"/>
        </w:rPr>
        <w:t xml:space="preserve">eetings, taking the respective decisions (38 decisions) for </w:t>
      </w:r>
      <w:r w:rsidRPr="00763EE8">
        <w:rPr>
          <w:rFonts w:ascii="Perpetua" w:hAnsi="Perpetua" w:cs="Calibri"/>
          <w:color w:val="000000"/>
          <w:sz w:val="26"/>
          <w:szCs w:val="26"/>
        </w:rPr>
        <w:t>establishing and maintaining high standards of organizational governance</w:t>
      </w:r>
      <w:r>
        <w:rPr>
          <w:rFonts w:ascii="Perpetua" w:hAnsi="Perpetua" w:cs="Calibri"/>
          <w:color w:val="000000"/>
          <w:sz w:val="26"/>
          <w:szCs w:val="26"/>
        </w:rPr>
        <w:t xml:space="preserve"> as well as consolidating its capacities in order to accomplish the legal mandate</w:t>
      </w:r>
      <w:r w:rsidRPr="00C4446C">
        <w:rPr>
          <w:rFonts w:ascii="Perpetua" w:hAnsi="Perpetua" w:cs="Calibri"/>
          <w:color w:val="000000"/>
          <w:sz w:val="26"/>
          <w:szCs w:val="26"/>
        </w:rPr>
        <w:t xml:space="preserve">. </w:t>
      </w:r>
    </w:p>
    <w:p w14:paraId="7DBE50E5" w14:textId="77777777" w:rsidR="003D0262" w:rsidRPr="00C4446C" w:rsidRDefault="003D0262" w:rsidP="003D0262">
      <w:pPr>
        <w:pStyle w:val="ListParagraph"/>
        <w:autoSpaceDE w:val="0"/>
        <w:autoSpaceDN w:val="0"/>
        <w:adjustRightInd w:val="0"/>
        <w:spacing w:after="240" w:line="276" w:lineRule="auto"/>
        <w:ind w:left="0"/>
        <w:jc w:val="both"/>
        <w:rPr>
          <w:rFonts w:ascii="Perpetua" w:hAnsi="Perpetua" w:cs="Calibri"/>
          <w:color w:val="000000"/>
          <w:sz w:val="26"/>
          <w:szCs w:val="26"/>
        </w:rPr>
      </w:pPr>
      <w:r>
        <w:rPr>
          <w:rFonts w:ascii="Perpetua" w:hAnsi="Perpetua" w:cs="Calibri"/>
          <w:color w:val="000000"/>
          <w:sz w:val="26"/>
          <w:szCs w:val="26"/>
        </w:rPr>
        <w:t>With the aim to monitor the progress of strategic directions and addressing all issues related to improving the functions and operational activities of the Agency, the Board of Directors has been informed and subsequently approved, on trimester basis, the budget analysis reports and financial statements</w:t>
      </w:r>
      <w:r w:rsidRPr="00C4446C">
        <w:rPr>
          <w:rFonts w:ascii="Perpetua" w:hAnsi="Perpetua" w:cs="Calibri"/>
          <w:color w:val="000000"/>
          <w:sz w:val="26"/>
          <w:szCs w:val="26"/>
        </w:rPr>
        <w:t>.</w:t>
      </w:r>
      <w:r>
        <w:rPr>
          <w:rFonts w:ascii="Perpetua" w:hAnsi="Perpetua" w:cs="Calibri"/>
          <w:color w:val="000000"/>
          <w:sz w:val="26"/>
          <w:szCs w:val="26"/>
        </w:rPr>
        <w:t xml:space="preserve"> Approval </w:t>
      </w:r>
    </w:p>
    <w:p w14:paraId="09325DE0" w14:textId="77777777" w:rsidR="003D0262" w:rsidRPr="00C4446C" w:rsidRDefault="003D0262" w:rsidP="003D0262">
      <w:pPr>
        <w:pStyle w:val="ListParagraph"/>
        <w:autoSpaceDE w:val="0"/>
        <w:autoSpaceDN w:val="0"/>
        <w:adjustRightInd w:val="0"/>
        <w:spacing w:before="240" w:line="276" w:lineRule="auto"/>
        <w:ind w:left="0"/>
        <w:jc w:val="both"/>
        <w:rPr>
          <w:rFonts w:ascii="Perpetua" w:hAnsi="Perpetua" w:cs="Calibri"/>
          <w:color w:val="000000"/>
          <w:sz w:val="26"/>
          <w:szCs w:val="26"/>
        </w:rPr>
      </w:pPr>
    </w:p>
    <w:p w14:paraId="6C481770" w14:textId="77777777" w:rsidR="003D0262" w:rsidRPr="00C4446C" w:rsidRDefault="003D0262" w:rsidP="003D0262">
      <w:pPr>
        <w:pStyle w:val="ListParagraph"/>
        <w:autoSpaceDE w:val="0"/>
        <w:autoSpaceDN w:val="0"/>
        <w:adjustRightInd w:val="0"/>
        <w:spacing w:before="240" w:line="276" w:lineRule="auto"/>
        <w:ind w:left="0"/>
        <w:jc w:val="both"/>
        <w:rPr>
          <w:rFonts w:ascii="Perpetua" w:hAnsi="Perpetua" w:cs="Calibri"/>
          <w:color w:val="000000"/>
          <w:sz w:val="26"/>
          <w:szCs w:val="26"/>
        </w:rPr>
      </w:pPr>
      <w:r>
        <w:rPr>
          <w:rFonts w:ascii="Perpetua" w:hAnsi="Perpetua" w:cs="Calibri"/>
          <w:color w:val="000000"/>
          <w:sz w:val="26"/>
          <w:szCs w:val="26"/>
        </w:rPr>
        <w:t xml:space="preserve">Some of the most important decisions approved by the Board during its activity in 2015 are related to </w:t>
      </w:r>
      <w:r w:rsidRPr="00C4446C">
        <w:rPr>
          <w:rFonts w:ascii="Perpetua" w:hAnsi="Perpetua" w:cs="Calibri"/>
          <w:color w:val="FF0000"/>
          <w:sz w:val="26"/>
          <w:szCs w:val="26"/>
        </w:rPr>
        <w:t xml:space="preserve">(i) </w:t>
      </w:r>
      <w:r w:rsidRPr="000C5978">
        <w:rPr>
          <w:rFonts w:ascii="Perpetua" w:hAnsi="Perpetua" w:cs="Calibri"/>
          <w:color w:val="000000"/>
          <w:sz w:val="26"/>
          <w:szCs w:val="26"/>
        </w:rPr>
        <w:t xml:space="preserve">Approving </w:t>
      </w:r>
      <w:r>
        <w:rPr>
          <w:rFonts w:ascii="Perpetua" w:hAnsi="Perpetua" w:cs="Calibri"/>
          <w:color w:val="000000"/>
          <w:sz w:val="26"/>
          <w:szCs w:val="26"/>
        </w:rPr>
        <w:t xml:space="preserve">the Strategic Plan </w:t>
      </w:r>
      <w:r w:rsidRPr="00C4446C">
        <w:rPr>
          <w:rFonts w:ascii="Perpetua" w:hAnsi="Perpetua" w:cs="Calibri"/>
          <w:color w:val="000000"/>
          <w:sz w:val="26"/>
          <w:szCs w:val="26"/>
        </w:rPr>
        <w:t xml:space="preserve">2015-2017; </w:t>
      </w:r>
      <w:r w:rsidRPr="00C4446C">
        <w:rPr>
          <w:rFonts w:ascii="Perpetua" w:hAnsi="Perpetua" w:cs="Calibri"/>
          <w:color w:val="FF0000"/>
          <w:sz w:val="26"/>
          <w:szCs w:val="26"/>
        </w:rPr>
        <w:t>(ii)</w:t>
      </w:r>
      <w:r w:rsidRPr="00C4446C">
        <w:rPr>
          <w:rFonts w:ascii="Perpetua" w:hAnsi="Perpetua" w:cs="Calibri"/>
          <w:color w:val="000000"/>
          <w:sz w:val="26"/>
          <w:szCs w:val="26"/>
        </w:rPr>
        <w:t xml:space="preserve"> </w:t>
      </w:r>
      <w:r>
        <w:rPr>
          <w:rFonts w:ascii="Perpetua" w:hAnsi="Perpetua" w:cs="Calibri"/>
          <w:color w:val="000000"/>
          <w:sz w:val="26"/>
          <w:szCs w:val="26"/>
        </w:rPr>
        <w:t xml:space="preserve">Approving the waiver for keeping available the full amount from the Credit Line Agreement between the Albanian Deposit Insurance Agency and the European Bank for Reconstruction and Development </w:t>
      </w:r>
      <w:r w:rsidRPr="00C4446C">
        <w:rPr>
          <w:rFonts w:ascii="Perpetua" w:hAnsi="Perpetua" w:cs="Calibri"/>
          <w:color w:val="000000"/>
          <w:sz w:val="26"/>
          <w:szCs w:val="26"/>
        </w:rPr>
        <w:t>(</w:t>
      </w:r>
      <w:r>
        <w:rPr>
          <w:rFonts w:ascii="Perpetua" w:hAnsi="Perpetua" w:cs="Calibri"/>
          <w:color w:val="000000"/>
          <w:sz w:val="26"/>
          <w:szCs w:val="26"/>
        </w:rPr>
        <w:t>EBRD</w:t>
      </w:r>
      <w:r w:rsidRPr="00C4446C">
        <w:rPr>
          <w:rFonts w:ascii="Perpetua" w:hAnsi="Perpetua" w:cs="Calibri"/>
          <w:color w:val="000000"/>
          <w:sz w:val="26"/>
          <w:szCs w:val="26"/>
        </w:rPr>
        <w:t xml:space="preserve">); </w:t>
      </w:r>
      <w:r w:rsidRPr="00C4446C">
        <w:rPr>
          <w:rFonts w:ascii="Perpetua" w:hAnsi="Perpetua" w:cs="Calibri"/>
          <w:color w:val="FF0000"/>
          <w:sz w:val="26"/>
          <w:szCs w:val="26"/>
        </w:rPr>
        <w:t xml:space="preserve">(iii) </w:t>
      </w:r>
      <w:r>
        <w:rPr>
          <w:rFonts w:ascii="Perpetua" w:hAnsi="Perpetua" w:cs="Calibri"/>
          <w:color w:val="000000"/>
          <w:sz w:val="26"/>
          <w:szCs w:val="26"/>
        </w:rPr>
        <w:t>A</w:t>
      </w:r>
      <w:r w:rsidRPr="000C5978">
        <w:rPr>
          <w:rFonts w:ascii="Perpetua" w:hAnsi="Perpetua" w:cs="Calibri"/>
          <w:color w:val="000000"/>
          <w:sz w:val="26"/>
          <w:szCs w:val="26"/>
        </w:rPr>
        <w:t xml:space="preserve">pproving the proposal </w:t>
      </w:r>
      <w:r>
        <w:rPr>
          <w:rFonts w:ascii="Perpetua" w:hAnsi="Perpetua" w:cs="Calibri"/>
          <w:color w:val="000000"/>
          <w:sz w:val="26"/>
          <w:szCs w:val="26"/>
        </w:rPr>
        <w:t>for the Albanian Parliament related to the necessary legal amendments to include legal entities in the deposit insurance scheme</w:t>
      </w:r>
      <w:r w:rsidRPr="00C4446C">
        <w:rPr>
          <w:rFonts w:ascii="Perpetua" w:hAnsi="Perpetua" w:cs="Calibri"/>
          <w:color w:val="000000"/>
          <w:sz w:val="26"/>
          <w:szCs w:val="26"/>
        </w:rPr>
        <w:t xml:space="preserve">; </w:t>
      </w:r>
      <w:r w:rsidRPr="00C4446C">
        <w:rPr>
          <w:rFonts w:ascii="Perpetua" w:hAnsi="Perpetua" w:cs="Calibri"/>
          <w:color w:val="FF0000"/>
          <w:sz w:val="26"/>
          <w:szCs w:val="26"/>
        </w:rPr>
        <w:t xml:space="preserve">(iv) </w:t>
      </w:r>
      <w:r>
        <w:rPr>
          <w:rFonts w:ascii="Perpetua" w:hAnsi="Perpetua" w:cs="Calibri"/>
          <w:color w:val="000000"/>
          <w:sz w:val="26"/>
          <w:szCs w:val="26"/>
        </w:rPr>
        <w:t xml:space="preserve">Approving the Regulation </w:t>
      </w:r>
      <w:r w:rsidRPr="00C4446C">
        <w:rPr>
          <w:rFonts w:ascii="Perpetua" w:hAnsi="Perpetua" w:cs="Calibri"/>
          <w:color w:val="000000"/>
          <w:sz w:val="26"/>
          <w:szCs w:val="26"/>
        </w:rPr>
        <w:t>“</w:t>
      </w:r>
      <w:r>
        <w:rPr>
          <w:rFonts w:ascii="Perpetua" w:hAnsi="Perpetua" w:cs="Calibri"/>
          <w:color w:val="000000"/>
          <w:sz w:val="26"/>
          <w:szCs w:val="26"/>
        </w:rPr>
        <w:t>On the insurance of eligible deposit</w:t>
      </w:r>
      <w:r w:rsidRPr="00C4446C">
        <w:rPr>
          <w:rFonts w:ascii="Perpetua" w:hAnsi="Perpetua" w:cs="Calibri"/>
          <w:color w:val="000000"/>
          <w:sz w:val="26"/>
          <w:szCs w:val="26"/>
        </w:rPr>
        <w:t xml:space="preserve">”; </w:t>
      </w:r>
      <w:r w:rsidRPr="00C4446C">
        <w:rPr>
          <w:rFonts w:ascii="Perpetua" w:hAnsi="Perpetua" w:cs="Calibri"/>
          <w:color w:val="FF0000"/>
          <w:sz w:val="26"/>
          <w:szCs w:val="26"/>
        </w:rPr>
        <w:t xml:space="preserve">(v) </w:t>
      </w:r>
      <w:r>
        <w:rPr>
          <w:rFonts w:ascii="Perpetua" w:hAnsi="Perpetua" w:cs="Calibri"/>
          <w:color w:val="000000"/>
          <w:sz w:val="26"/>
          <w:szCs w:val="26"/>
        </w:rPr>
        <w:t xml:space="preserve">Approving the Regulation </w:t>
      </w:r>
      <w:r w:rsidRPr="00C4446C">
        <w:rPr>
          <w:rFonts w:ascii="Perpetua" w:hAnsi="Perpetua" w:cs="Calibri"/>
          <w:color w:val="000000"/>
          <w:sz w:val="26"/>
          <w:szCs w:val="26"/>
        </w:rPr>
        <w:t>“</w:t>
      </w:r>
      <w:r>
        <w:rPr>
          <w:rFonts w:ascii="Perpetua" w:hAnsi="Perpetua" w:cs="Calibri"/>
          <w:color w:val="000000"/>
          <w:sz w:val="26"/>
          <w:szCs w:val="26"/>
        </w:rPr>
        <w:t>On the administration of risk in the Albanian Deposit Insurance Agency</w:t>
      </w:r>
      <w:r w:rsidRPr="00C4446C">
        <w:rPr>
          <w:rFonts w:ascii="Perpetua" w:hAnsi="Perpetua" w:cs="Calibri"/>
          <w:color w:val="000000"/>
          <w:sz w:val="26"/>
          <w:szCs w:val="26"/>
        </w:rPr>
        <w:t xml:space="preserve">”; </w:t>
      </w:r>
      <w:r w:rsidRPr="00C4446C">
        <w:rPr>
          <w:rFonts w:ascii="Perpetua" w:hAnsi="Perpetua" w:cs="Calibri"/>
          <w:color w:val="FF0000"/>
          <w:sz w:val="26"/>
          <w:szCs w:val="26"/>
        </w:rPr>
        <w:t xml:space="preserve">(vi) </w:t>
      </w:r>
      <w:r>
        <w:rPr>
          <w:rFonts w:ascii="Perpetua" w:hAnsi="Perpetua" w:cs="Calibri"/>
          <w:color w:val="000000"/>
          <w:sz w:val="26"/>
          <w:szCs w:val="26"/>
        </w:rPr>
        <w:t>Approving the audit reports and recommendations of the internal audit</w:t>
      </w:r>
      <w:r w:rsidRPr="00C4446C">
        <w:rPr>
          <w:rFonts w:ascii="Perpetua" w:hAnsi="Perpetua" w:cs="Calibri"/>
          <w:color w:val="000000"/>
          <w:sz w:val="26"/>
          <w:szCs w:val="26"/>
        </w:rPr>
        <w:t xml:space="preserve">; </w:t>
      </w:r>
      <w:r w:rsidRPr="00C4446C">
        <w:rPr>
          <w:rFonts w:ascii="Perpetua" w:hAnsi="Perpetua" w:cs="Calibri"/>
          <w:color w:val="FF0000"/>
          <w:sz w:val="26"/>
          <w:szCs w:val="26"/>
        </w:rPr>
        <w:t xml:space="preserve">(vii) </w:t>
      </w:r>
      <w:r>
        <w:rPr>
          <w:rFonts w:ascii="Perpetua" w:hAnsi="Perpetua" w:cs="Calibri"/>
          <w:color w:val="000000"/>
          <w:sz w:val="26"/>
          <w:szCs w:val="26"/>
        </w:rPr>
        <w:t>Approving agreements and MOU’s between the Agency and counterpart institutions</w:t>
      </w:r>
      <w:r w:rsidRPr="00C4446C">
        <w:rPr>
          <w:rFonts w:ascii="Perpetua" w:hAnsi="Perpetua" w:cs="Calibri"/>
          <w:color w:val="000000"/>
          <w:sz w:val="26"/>
          <w:szCs w:val="26"/>
        </w:rPr>
        <w:t>, et</w:t>
      </w:r>
      <w:r>
        <w:rPr>
          <w:rFonts w:ascii="Perpetua" w:hAnsi="Perpetua" w:cs="Calibri"/>
          <w:color w:val="000000"/>
          <w:sz w:val="26"/>
          <w:szCs w:val="26"/>
        </w:rPr>
        <w:t>c</w:t>
      </w:r>
      <w:r w:rsidRPr="00C4446C">
        <w:rPr>
          <w:rFonts w:ascii="Perpetua" w:hAnsi="Perpetua" w:cs="Calibri"/>
          <w:color w:val="000000"/>
          <w:sz w:val="26"/>
          <w:szCs w:val="26"/>
        </w:rPr>
        <w:t xml:space="preserve">. </w:t>
      </w:r>
    </w:p>
    <w:p w14:paraId="24B82551" w14:textId="77777777" w:rsidR="003D0262" w:rsidRPr="00C4446C" w:rsidRDefault="003D0262" w:rsidP="003D0262"/>
    <w:p w14:paraId="477C5131" w14:textId="77777777" w:rsidR="003D0262" w:rsidRDefault="003D0262" w:rsidP="00647478">
      <w:pPr>
        <w:spacing w:after="0"/>
        <w:jc w:val="both"/>
        <w:rPr>
          <w:rFonts w:ascii="Perpetua" w:hAnsi="Perpetua"/>
          <w:sz w:val="26"/>
          <w:szCs w:val="26"/>
        </w:rPr>
        <w:sectPr w:rsidR="003D0262">
          <w:pgSz w:w="11906" w:h="16838"/>
          <w:pgMar w:top="1440" w:right="1440" w:bottom="1440" w:left="1440" w:header="708" w:footer="708" w:gutter="0"/>
          <w:cols w:space="708"/>
          <w:docGrid w:linePitch="360"/>
        </w:sectPr>
      </w:pPr>
    </w:p>
    <w:p w14:paraId="0743AA8F" w14:textId="6DF006B2" w:rsidR="003D0262" w:rsidRPr="003D0262" w:rsidRDefault="003D0262" w:rsidP="003D0262">
      <w:pPr>
        <w:pStyle w:val="Heading2"/>
        <w:keepLines/>
        <w:numPr>
          <w:ilvl w:val="1"/>
          <w:numId w:val="10"/>
        </w:numPr>
        <w:spacing w:line="259" w:lineRule="auto"/>
        <w:rPr>
          <w:rFonts w:ascii="Perpetua" w:eastAsiaTheme="majorEastAsia" w:hAnsi="Perpetua" w:cstheme="majorBidi"/>
          <w:b/>
          <w:color w:val="FF0000"/>
          <w:sz w:val="28"/>
          <w:lang w:val="sq-AL"/>
        </w:rPr>
      </w:pPr>
      <w:bookmarkStart w:id="85" w:name="_Toc487804088"/>
      <w:r w:rsidRPr="003D0262">
        <w:rPr>
          <w:rFonts w:ascii="Perpetua" w:eastAsiaTheme="majorEastAsia" w:hAnsi="Perpetua" w:cstheme="majorBidi"/>
          <w:b/>
          <w:color w:val="FF0000"/>
          <w:sz w:val="28"/>
          <w:lang w:val="sq-AL"/>
        </w:rPr>
        <w:lastRenderedPageBreak/>
        <w:t>Organizational structure</w:t>
      </w:r>
      <w:bookmarkEnd w:id="85"/>
    </w:p>
    <w:p w14:paraId="49F2D6B0" w14:textId="77777777" w:rsidR="003D0262" w:rsidRPr="00340E5C" w:rsidRDefault="003D0262" w:rsidP="003D0262">
      <w:pPr>
        <w:pStyle w:val="ecxmsonormal"/>
        <w:spacing w:line="276" w:lineRule="atLeast"/>
        <w:jc w:val="both"/>
        <w:rPr>
          <w:lang w:val="en-GB"/>
        </w:rPr>
      </w:pPr>
      <w:r w:rsidRPr="00340E5C">
        <w:rPr>
          <w:rFonts w:ascii="Perpetua" w:hAnsi="Perpetua"/>
          <w:spacing w:val="6"/>
          <w:sz w:val="26"/>
          <w:szCs w:val="26"/>
          <w:lang w:val="en-GB"/>
        </w:rPr>
        <w:t xml:space="preserve">The Agency considers human resources as one of the most </w:t>
      </w:r>
      <w:r>
        <w:rPr>
          <w:rFonts w:ascii="Perpetua" w:hAnsi="Perpetua"/>
          <w:spacing w:val="6"/>
          <w:sz w:val="26"/>
          <w:szCs w:val="26"/>
          <w:lang w:val="en-GB"/>
        </w:rPr>
        <w:t>crucial</w:t>
      </w:r>
      <w:r w:rsidRPr="00340E5C">
        <w:rPr>
          <w:rFonts w:ascii="Perpetua" w:hAnsi="Perpetua"/>
          <w:spacing w:val="6"/>
          <w:sz w:val="26"/>
          <w:szCs w:val="26"/>
          <w:lang w:val="en-GB"/>
        </w:rPr>
        <w:t xml:space="preserve"> factors to achieve its goal</w:t>
      </w:r>
      <w:r>
        <w:rPr>
          <w:rFonts w:ascii="Perpetua" w:hAnsi="Perpetua"/>
          <w:spacing w:val="6"/>
          <w:sz w:val="26"/>
          <w:szCs w:val="26"/>
          <w:lang w:val="en-GB"/>
        </w:rPr>
        <w:t>s</w:t>
      </w:r>
      <w:r w:rsidRPr="00340E5C">
        <w:rPr>
          <w:rFonts w:ascii="Perpetua" w:hAnsi="Perpetua"/>
          <w:spacing w:val="6"/>
          <w:sz w:val="26"/>
          <w:szCs w:val="26"/>
          <w:lang w:val="en-GB"/>
        </w:rPr>
        <w:t>.</w:t>
      </w:r>
    </w:p>
    <w:p w14:paraId="79BB629D" w14:textId="37E468B2" w:rsidR="004A7DA3" w:rsidRDefault="002B4E2E" w:rsidP="002B4E2E">
      <w:pPr>
        <w:pStyle w:val="ecxmsonormal"/>
        <w:jc w:val="center"/>
        <w:rPr>
          <w:rFonts w:ascii="Perpetua" w:hAnsi="Perpetua"/>
          <w:sz w:val="26"/>
          <w:szCs w:val="26"/>
          <w:lang w:val="en-GB"/>
        </w:rPr>
      </w:pPr>
      <w:r>
        <w:rPr>
          <w:rFonts w:ascii="Perpetua" w:hAnsi="Perpetua"/>
          <w:noProof/>
          <w:sz w:val="26"/>
          <w:szCs w:val="26"/>
          <w:lang w:val="en-GB" w:eastAsia="en-GB"/>
        </w:rPr>
        <w:drawing>
          <wp:inline distT="0" distB="0" distL="0" distR="0" wp14:anchorId="37EBB3C3" wp14:editId="01E61CDE">
            <wp:extent cx="5841555" cy="26543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1496"/>
                    <a:stretch/>
                  </pic:blipFill>
                  <pic:spPr bwMode="auto">
                    <a:xfrm>
                      <a:off x="0" y="0"/>
                      <a:ext cx="5841555" cy="2654300"/>
                    </a:xfrm>
                    <a:prstGeom prst="rect">
                      <a:avLst/>
                    </a:prstGeom>
                    <a:noFill/>
                    <a:ln>
                      <a:noFill/>
                    </a:ln>
                    <a:extLst>
                      <a:ext uri="{53640926-AAD7-44D8-BBD7-CCE9431645EC}">
                        <a14:shadowObscured xmlns:a14="http://schemas.microsoft.com/office/drawing/2010/main"/>
                      </a:ext>
                    </a:extLst>
                  </pic:spPr>
                </pic:pic>
              </a:graphicData>
            </a:graphic>
          </wp:inline>
        </w:drawing>
      </w:r>
    </w:p>
    <w:p w14:paraId="0422F442" w14:textId="24C3285C" w:rsidR="003D0262" w:rsidRPr="00340E5C" w:rsidRDefault="003D0262" w:rsidP="003D0262">
      <w:pPr>
        <w:pStyle w:val="ecxmsonormal"/>
        <w:jc w:val="both"/>
        <w:rPr>
          <w:rFonts w:ascii="Perpetua" w:hAnsi="Perpetua"/>
          <w:sz w:val="26"/>
          <w:szCs w:val="26"/>
          <w:lang w:val="en-GB"/>
        </w:rPr>
      </w:pPr>
      <w:r w:rsidRPr="00340E5C">
        <w:rPr>
          <w:rFonts w:ascii="Perpetua" w:hAnsi="Perpetua"/>
          <w:sz w:val="26"/>
          <w:szCs w:val="26"/>
          <w:lang w:val="en-GB"/>
        </w:rPr>
        <w:t xml:space="preserve">The Agency has a specific structure in the human resource development, according to its objectives. Currently, the Agency works according </w:t>
      </w:r>
      <w:r>
        <w:rPr>
          <w:rFonts w:ascii="Perpetua" w:hAnsi="Perpetua"/>
          <w:sz w:val="26"/>
          <w:szCs w:val="26"/>
          <w:lang w:val="en-GB"/>
        </w:rPr>
        <w:t xml:space="preserve">to the organizational structure approved </w:t>
      </w:r>
      <w:r w:rsidRPr="00340E5C">
        <w:rPr>
          <w:rFonts w:ascii="Perpetua" w:hAnsi="Perpetua"/>
          <w:sz w:val="26"/>
          <w:szCs w:val="26"/>
          <w:lang w:val="en-GB"/>
        </w:rPr>
        <w:t xml:space="preserve">by </w:t>
      </w:r>
      <w:r>
        <w:rPr>
          <w:rFonts w:ascii="Perpetua" w:hAnsi="Perpetua"/>
          <w:sz w:val="26"/>
          <w:szCs w:val="26"/>
          <w:lang w:val="en-GB"/>
        </w:rPr>
        <w:t xml:space="preserve">the Board of Directors </w:t>
      </w:r>
      <w:r w:rsidRPr="00340E5C">
        <w:rPr>
          <w:rFonts w:ascii="Perpetua" w:hAnsi="Perpetua"/>
          <w:sz w:val="26"/>
          <w:szCs w:val="26"/>
          <w:lang w:val="en-GB"/>
        </w:rPr>
        <w:t>decisi</w:t>
      </w:r>
      <w:r>
        <w:rPr>
          <w:rFonts w:ascii="Perpetua" w:hAnsi="Perpetua"/>
          <w:sz w:val="26"/>
          <w:szCs w:val="26"/>
          <w:lang w:val="en-GB"/>
        </w:rPr>
        <w:t xml:space="preserve">on, no 19, dated 29 August 2013 </w:t>
      </w:r>
      <w:r w:rsidRPr="00340E5C">
        <w:rPr>
          <w:rFonts w:ascii="Perpetua" w:hAnsi="Perpetua"/>
          <w:sz w:val="26"/>
          <w:szCs w:val="26"/>
          <w:lang w:val="en-GB"/>
        </w:rPr>
        <w:t>"Approvin</w:t>
      </w:r>
      <w:r>
        <w:rPr>
          <w:rFonts w:ascii="Perpetua" w:hAnsi="Perpetua"/>
          <w:sz w:val="26"/>
          <w:szCs w:val="26"/>
          <w:lang w:val="en-GB"/>
        </w:rPr>
        <w:t xml:space="preserve">g the organizational structure, organism and the </w:t>
      </w:r>
      <w:r w:rsidRPr="00340E5C">
        <w:rPr>
          <w:rFonts w:ascii="Perpetua" w:hAnsi="Perpetua"/>
          <w:sz w:val="26"/>
          <w:szCs w:val="26"/>
          <w:lang w:val="en-GB"/>
        </w:rPr>
        <w:t>number of the employees in the Deposits Insurance Agency”. According to this organizational structure, the Agency is composed of 8 sectors and has 28 staff members. During the last two years, the Agency has fulfilled almost 93% of the vacancies making possible to continue its normal work.</w:t>
      </w:r>
    </w:p>
    <w:p w14:paraId="4C01450B" w14:textId="77777777" w:rsidR="003D0262" w:rsidRPr="00340E5C" w:rsidRDefault="003D0262" w:rsidP="003D0262">
      <w:pPr>
        <w:pStyle w:val="ecxmsonormal"/>
        <w:spacing w:line="254" w:lineRule="atLeast"/>
        <w:jc w:val="both"/>
        <w:rPr>
          <w:rFonts w:ascii="Perpetua" w:hAnsi="Perpetua"/>
          <w:sz w:val="26"/>
          <w:szCs w:val="26"/>
          <w:lang w:val="en-GB"/>
        </w:rPr>
      </w:pPr>
      <w:r w:rsidRPr="00340E5C">
        <w:rPr>
          <w:rFonts w:ascii="Perpetua" w:hAnsi="Perpetua"/>
          <w:sz w:val="26"/>
          <w:szCs w:val="26"/>
          <w:lang w:val="en-GB"/>
        </w:rPr>
        <w:t>Also, the Agency is focused on the activity management that are related to the identification of the staff needs, staff recruitment, professional skill improvements through training according to the necessities of the professional needs of the job position, administrating correctly the staff files, and also pe</w:t>
      </w:r>
      <w:r>
        <w:rPr>
          <w:rFonts w:ascii="Perpetua" w:hAnsi="Perpetua"/>
          <w:sz w:val="26"/>
          <w:szCs w:val="26"/>
          <w:lang w:val="en-GB"/>
        </w:rPr>
        <w:t xml:space="preserve">rforming the yearly performance evaluation </w:t>
      </w:r>
      <w:r w:rsidRPr="00340E5C">
        <w:rPr>
          <w:rFonts w:ascii="Perpetua" w:hAnsi="Perpetua"/>
          <w:sz w:val="26"/>
          <w:szCs w:val="26"/>
          <w:lang w:val="en-GB"/>
        </w:rPr>
        <w:t>of each employee, in time and in accordance with the specific administrative rules.</w:t>
      </w:r>
    </w:p>
    <w:p w14:paraId="67C29242" w14:textId="77777777" w:rsidR="003D0262" w:rsidRPr="00340E5C" w:rsidRDefault="003D0262" w:rsidP="003D0262">
      <w:pPr>
        <w:pStyle w:val="ecxmsonormal"/>
        <w:spacing w:line="254" w:lineRule="atLeast"/>
        <w:jc w:val="both"/>
        <w:rPr>
          <w:lang w:val="en-GB"/>
        </w:rPr>
      </w:pPr>
      <w:r w:rsidRPr="00340E5C">
        <w:rPr>
          <w:rFonts w:ascii="Perpetua" w:hAnsi="Perpetua"/>
          <w:sz w:val="26"/>
          <w:szCs w:val="26"/>
          <w:lang w:val="en-GB"/>
        </w:rPr>
        <w:t>According to the data of the employees, it results that the majority of the staff members of the Agency are in the age group of 31-50 years old, although it has an equal distribution of the staff members under the age of 31 years old and over 50 years old.</w:t>
      </w:r>
    </w:p>
    <w:p w14:paraId="2E71D0F5" w14:textId="77777777" w:rsidR="003D0262" w:rsidRPr="00340E5C" w:rsidRDefault="003D0262" w:rsidP="003D0262">
      <w:pPr>
        <w:pStyle w:val="ecxmsonormal"/>
        <w:spacing w:line="252" w:lineRule="auto"/>
        <w:jc w:val="right"/>
        <w:rPr>
          <w:lang w:val="en-GB"/>
        </w:rPr>
      </w:pPr>
      <w:r w:rsidRPr="00340E5C">
        <w:rPr>
          <w:rFonts w:ascii="Perpetua" w:hAnsi="Perpetua"/>
          <w:color w:val="FF0000"/>
          <w:lang w:val="en-GB"/>
        </w:rPr>
        <w:t> </w:t>
      </w:r>
    </w:p>
    <w:p w14:paraId="2C3DBA20" w14:textId="77777777" w:rsidR="004A7DA3" w:rsidRDefault="004A7DA3" w:rsidP="003D0262">
      <w:pPr>
        <w:pStyle w:val="ecxmsonormal"/>
        <w:spacing w:line="252" w:lineRule="auto"/>
        <w:jc w:val="right"/>
        <w:rPr>
          <w:rFonts w:ascii="Perpetua" w:hAnsi="Perpetua"/>
          <w:i/>
          <w:iCs/>
          <w:color w:val="FF0000"/>
          <w:lang w:val="en-GB"/>
        </w:rPr>
      </w:pPr>
    </w:p>
    <w:p w14:paraId="571A20FC" w14:textId="77777777" w:rsidR="004A7DA3" w:rsidRDefault="004A7DA3" w:rsidP="003D0262">
      <w:pPr>
        <w:pStyle w:val="ecxmsonormal"/>
        <w:spacing w:line="252" w:lineRule="auto"/>
        <w:jc w:val="right"/>
        <w:rPr>
          <w:rFonts w:ascii="Perpetua" w:hAnsi="Perpetua"/>
          <w:i/>
          <w:iCs/>
          <w:color w:val="FF0000"/>
          <w:lang w:val="en-GB"/>
        </w:rPr>
      </w:pPr>
    </w:p>
    <w:p w14:paraId="207048B4" w14:textId="77777777" w:rsidR="004A7DA3" w:rsidRDefault="004A7DA3" w:rsidP="003D0262">
      <w:pPr>
        <w:pStyle w:val="ecxmsonormal"/>
        <w:spacing w:line="252" w:lineRule="auto"/>
        <w:jc w:val="right"/>
        <w:rPr>
          <w:rFonts w:ascii="Perpetua" w:hAnsi="Perpetua"/>
          <w:i/>
          <w:iCs/>
          <w:color w:val="FF0000"/>
          <w:lang w:val="en-GB"/>
        </w:rPr>
      </w:pPr>
    </w:p>
    <w:p w14:paraId="5F6A1ED1" w14:textId="77777777" w:rsidR="003D0262" w:rsidRPr="00340E5C" w:rsidRDefault="003D0262" w:rsidP="003D0262">
      <w:pPr>
        <w:pStyle w:val="ecxmsonormal"/>
        <w:spacing w:line="252" w:lineRule="auto"/>
        <w:jc w:val="right"/>
        <w:rPr>
          <w:lang w:val="en-GB"/>
        </w:rPr>
      </w:pPr>
      <w:r w:rsidRPr="00340E5C">
        <w:rPr>
          <w:rFonts w:ascii="Perpetua" w:hAnsi="Perpetua"/>
          <w:i/>
          <w:iCs/>
          <w:color w:val="FF0000"/>
          <w:lang w:val="en-GB"/>
        </w:rPr>
        <w:t>Graphic 22. Distribution of the employers according to the age group</w:t>
      </w:r>
    </w:p>
    <w:p w14:paraId="052D33A3" w14:textId="77777777" w:rsidR="003D0262" w:rsidRPr="00340E5C" w:rsidRDefault="003D0262" w:rsidP="003D0262">
      <w:pPr>
        <w:pStyle w:val="ecxmsonormal"/>
        <w:spacing w:line="252" w:lineRule="auto"/>
        <w:jc w:val="center"/>
        <w:rPr>
          <w:lang w:val="en-GB"/>
        </w:rPr>
      </w:pPr>
      <w:r w:rsidRPr="00340E5C">
        <w:rPr>
          <w:noProof/>
          <w:lang w:val="en-GB" w:eastAsia="en-GB"/>
        </w:rPr>
        <w:drawing>
          <wp:inline distT="0" distB="0" distL="0" distR="0" wp14:anchorId="5DDB97B4" wp14:editId="4C57B3EC">
            <wp:extent cx="5263515" cy="3188335"/>
            <wp:effectExtent l="0" t="0" r="0" b="0"/>
            <wp:docPr id="22" name="ecxChart 66" descr="cid:image006.png@01D1BA6C.E7003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Chart 66" descr="cid:image006.png@01D1BA6C.E70035C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263515" cy="3188335"/>
                    </a:xfrm>
                    <a:prstGeom prst="rect">
                      <a:avLst/>
                    </a:prstGeom>
                    <a:noFill/>
                    <a:ln>
                      <a:noFill/>
                    </a:ln>
                  </pic:spPr>
                </pic:pic>
              </a:graphicData>
            </a:graphic>
          </wp:inline>
        </w:drawing>
      </w:r>
    </w:p>
    <w:p w14:paraId="3222A36C" w14:textId="77777777" w:rsidR="003D0262" w:rsidRPr="00340E5C" w:rsidRDefault="003D0262" w:rsidP="003D0262">
      <w:pPr>
        <w:pStyle w:val="ecxmsonormal"/>
        <w:spacing w:line="252" w:lineRule="auto"/>
        <w:jc w:val="right"/>
        <w:rPr>
          <w:lang w:val="en-GB"/>
        </w:rPr>
      </w:pPr>
      <w:r w:rsidRPr="00340E5C">
        <w:rPr>
          <w:rFonts w:ascii="Perpetua" w:hAnsi="Perpetua"/>
          <w:i/>
          <w:iCs/>
          <w:color w:val="FF0000"/>
          <w:lang w:val="en-GB"/>
        </w:rPr>
        <w:t>Graphic 23. Distribution of the employers graduated abroad and in Albania</w:t>
      </w:r>
    </w:p>
    <w:p w14:paraId="75E42A57" w14:textId="77777777" w:rsidR="003D0262" w:rsidRPr="00340E5C" w:rsidRDefault="003D0262" w:rsidP="003D0262">
      <w:pPr>
        <w:pStyle w:val="ecxmsonormal"/>
        <w:spacing w:line="252" w:lineRule="auto"/>
        <w:jc w:val="both"/>
        <w:rPr>
          <w:lang w:val="en-GB"/>
        </w:rPr>
      </w:pPr>
      <w:r w:rsidRPr="00340E5C">
        <w:rPr>
          <w:rFonts w:ascii="Perpetua" w:hAnsi="Perpetua"/>
          <w:sz w:val="28"/>
          <w:szCs w:val="28"/>
          <w:lang w:val="en-GB"/>
        </w:rPr>
        <w:t> </w:t>
      </w:r>
    </w:p>
    <w:p w14:paraId="4D395014" w14:textId="77777777" w:rsidR="003D0262" w:rsidRPr="00340E5C" w:rsidRDefault="003D0262" w:rsidP="003D0262">
      <w:pPr>
        <w:pStyle w:val="ecxmsonormal"/>
        <w:spacing w:line="252" w:lineRule="auto"/>
        <w:jc w:val="center"/>
        <w:rPr>
          <w:lang w:val="en-GB"/>
        </w:rPr>
      </w:pPr>
      <w:r w:rsidRPr="00340E5C">
        <w:rPr>
          <w:noProof/>
          <w:lang w:val="en-GB" w:eastAsia="en-GB"/>
        </w:rPr>
        <w:lastRenderedPageBreak/>
        <w:drawing>
          <wp:inline distT="0" distB="0" distL="0" distR="0" wp14:anchorId="5B9E5546" wp14:editId="643A57E3">
            <wp:extent cx="5677535" cy="2854325"/>
            <wp:effectExtent l="0" t="0" r="0" b="3175"/>
            <wp:docPr id="23" name="ecxChart 67" descr="cid:image008.png@01D1BA6C.E7003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Chart 67" descr="cid:image008.png@01D1BA6C.E70035C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677535" cy="2854325"/>
                    </a:xfrm>
                    <a:prstGeom prst="rect">
                      <a:avLst/>
                    </a:prstGeom>
                    <a:noFill/>
                    <a:ln>
                      <a:noFill/>
                    </a:ln>
                  </pic:spPr>
                </pic:pic>
              </a:graphicData>
            </a:graphic>
          </wp:inline>
        </w:drawing>
      </w:r>
    </w:p>
    <w:p w14:paraId="0EA1DD1D" w14:textId="77777777" w:rsidR="004A7DA3" w:rsidRDefault="004A7DA3" w:rsidP="003D0262">
      <w:pPr>
        <w:pStyle w:val="ecxmsonormal"/>
        <w:spacing w:line="252" w:lineRule="auto"/>
        <w:jc w:val="right"/>
        <w:rPr>
          <w:rFonts w:ascii="Perpetua" w:hAnsi="Perpetua"/>
          <w:i/>
          <w:iCs/>
          <w:color w:val="FF0000"/>
          <w:lang w:val="en-GB"/>
        </w:rPr>
      </w:pPr>
    </w:p>
    <w:p w14:paraId="72AC4C17" w14:textId="77777777" w:rsidR="004A7DA3" w:rsidRDefault="004A7DA3" w:rsidP="003D0262">
      <w:pPr>
        <w:pStyle w:val="ecxmsonormal"/>
        <w:spacing w:line="252" w:lineRule="auto"/>
        <w:jc w:val="right"/>
        <w:rPr>
          <w:rFonts w:ascii="Perpetua" w:hAnsi="Perpetua"/>
          <w:i/>
          <w:iCs/>
          <w:color w:val="FF0000"/>
          <w:lang w:val="en-GB"/>
        </w:rPr>
      </w:pPr>
    </w:p>
    <w:p w14:paraId="2AC1EE80" w14:textId="77777777" w:rsidR="003D0262" w:rsidRPr="00340E5C" w:rsidRDefault="003D0262" w:rsidP="003D0262">
      <w:pPr>
        <w:pStyle w:val="ecxmsonormal"/>
        <w:spacing w:line="252" w:lineRule="auto"/>
        <w:jc w:val="right"/>
        <w:rPr>
          <w:lang w:val="en-GB"/>
        </w:rPr>
      </w:pPr>
      <w:r w:rsidRPr="00340E5C">
        <w:rPr>
          <w:rFonts w:ascii="Perpetua" w:hAnsi="Perpetua"/>
          <w:i/>
          <w:iCs/>
          <w:color w:val="FF0000"/>
          <w:lang w:val="en-GB"/>
        </w:rPr>
        <w:t>Graphic 24. Distribution of the employers according the professional education</w:t>
      </w:r>
    </w:p>
    <w:p w14:paraId="6CE7792B" w14:textId="77777777" w:rsidR="003D0262" w:rsidRPr="00340E5C" w:rsidRDefault="003D0262" w:rsidP="003D0262">
      <w:pPr>
        <w:pStyle w:val="ecxmsonormal"/>
        <w:spacing w:line="252" w:lineRule="auto"/>
        <w:jc w:val="both"/>
        <w:rPr>
          <w:lang w:val="en-GB"/>
        </w:rPr>
      </w:pPr>
      <w:r w:rsidRPr="00340E5C">
        <w:rPr>
          <w:rFonts w:ascii="Perpetua" w:hAnsi="Perpetua"/>
          <w:lang w:val="en-GB"/>
        </w:rPr>
        <w:t> </w:t>
      </w:r>
    </w:p>
    <w:p w14:paraId="07204A34" w14:textId="77777777" w:rsidR="003D0262" w:rsidRPr="00340E5C" w:rsidRDefault="003D0262" w:rsidP="003D0262">
      <w:pPr>
        <w:pStyle w:val="ecxmsonormal"/>
        <w:spacing w:line="252" w:lineRule="auto"/>
        <w:jc w:val="both"/>
        <w:rPr>
          <w:lang w:val="en-GB"/>
        </w:rPr>
      </w:pPr>
      <w:r w:rsidRPr="00340E5C">
        <w:rPr>
          <w:noProof/>
          <w:lang w:val="en-GB" w:eastAsia="en-GB"/>
        </w:rPr>
        <w:drawing>
          <wp:inline distT="0" distB="0" distL="0" distR="0" wp14:anchorId="2D4A8A2A" wp14:editId="1FA339E9">
            <wp:extent cx="5518150" cy="3093085"/>
            <wp:effectExtent l="0" t="0" r="6350" b="0"/>
            <wp:docPr id="25" name="ecxChart 68" descr="cid:image009.png@01D1BA6C.E7003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Chart 68" descr="cid:image009.png@01D1BA6C.E70035C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518150" cy="3093085"/>
                    </a:xfrm>
                    <a:prstGeom prst="rect">
                      <a:avLst/>
                    </a:prstGeom>
                    <a:noFill/>
                    <a:ln>
                      <a:noFill/>
                    </a:ln>
                  </pic:spPr>
                </pic:pic>
              </a:graphicData>
            </a:graphic>
          </wp:inline>
        </w:drawing>
      </w:r>
    </w:p>
    <w:p w14:paraId="7CCB6FCC" w14:textId="77777777" w:rsidR="003D0262" w:rsidRPr="00340E5C" w:rsidRDefault="003D0262" w:rsidP="004F2109">
      <w:pPr>
        <w:pStyle w:val="ecxmsonormal"/>
        <w:spacing w:line="252" w:lineRule="auto"/>
        <w:jc w:val="both"/>
        <w:rPr>
          <w:lang w:val="en-GB"/>
        </w:rPr>
      </w:pPr>
      <w:r w:rsidRPr="00340E5C">
        <w:rPr>
          <w:rFonts w:ascii="Perpetua" w:hAnsi="Perpetua"/>
          <w:sz w:val="28"/>
          <w:szCs w:val="28"/>
          <w:lang w:val="en-GB"/>
        </w:rPr>
        <w:lastRenderedPageBreak/>
        <w:t> </w:t>
      </w:r>
    </w:p>
    <w:p w14:paraId="238CED2E" w14:textId="77777777" w:rsidR="003D0262" w:rsidRPr="00340E5C" w:rsidRDefault="003D0262" w:rsidP="003D0262">
      <w:pPr>
        <w:pStyle w:val="ecxmsonormal"/>
        <w:spacing w:line="252" w:lineRule="auto"/>
        <w:jc w:val="both"/>
        <w:rPr>
          <w:lang w:val="en-GB"/>
        </w:rPr>
      </w:pPr>
      <w:r w:rsidRPr="00340E5C">
        <w:rPr>
          <w:rFonts w:ascii="Perpetua" w:hAnsi="Perpetua"/>
          <w:sz w:val="26"/>
          <w:szCs w:val="26"/>
          <w:lang w:val="en-GB"/>
        </w:rPr>
        <w:t>In the job position determined by the organizational structure of the Agency, the majority of the employees have economic education, 69.6% of the total number.</w:t>
      </w:r>
    </w:p>
    <w:p w14:paraId="7073D227" w14:textId="77777777" w:rsidR="003D0262" w:rsidRPr="00340E5C" w:rsidRDefault="003D0262" w:rsidP="003D0262">
      <w:pPr>
        <w:pStyle w:val="ecxmsonormal"/>
        <w:spacing w:line="252" w:lineRule="auto"/>
        <w:jc w:val="both"/>
        <w:rPr>
          <w:lang w:val="en-GB"/>
        </w:rPr>
      </w:pPr>
      <w:r w:rsidRPr="00340E5C">
        <w:rPr>
          <w:rFonts w:ascii="Perpetua" w:hAnsi="Perpetua"/>
          <w:color w:val="FF0000"/>
          <w:sz w:val="26"/>
          <w:szCs w:val="26"/>
          <w:lang w:val="en-GB"/>
        </w:rPr>
        <w:t>Professional education</w:t>
      </w:r>
    </w:p>
    <w:p w14:paraId="45725323" w14:textId="77777777" w:rsidR="00F74B35" w:rsidRDefault="003D0262" w:rsidP="00F74B35">
      <w:pPr>
        <w:pStyle w:val="ecxmsonormal"/>
        <w:spacing w:line="252" w:lineRule="auto"/>
        <w:jc w:val="both"/>
        <w:rPr>
          <w:rFonts w:ascii="Perpetua" w:hAnsi="Perpetua"/>
          <w:sz w:val="26"/>
          <w:szCs w:val="26"/>
          <w:lang w:val="en-GB"/>
        </w:rPr>
        <w:sectPr w:rsidR="00F74B35">
          <w:pgSz w:w="12240" w:h="15840"/>
          <w:pgMar w:top="1440" w:right="1440" w:bottom="1440" w:left="1440" w:header="720" w:footer="720" w:gutter="0"/>
          <w:cols w:space="720"/>
          <w:docGrid w:linePitch="360"/>
        </w:sectPr>
      </w:pPr>
      <w:r w:rsidRPr="00340E5C">
        <w:rPr>
          <w:rFonts w:ascii="Perpetua" w:hAnsi="Perpetua"/>
          <w:sz w:val="26"/>
          <w:szCs w:val="26"/>
          <w:lang w:val="en-GB"/>
        </w:rPr>
        <w:t>Successfully managing the human resource</w:t>
      </w:r>
      <w:r>
        <w:rPr>
          <w:rFonts w:ascii="Perpetua" w:hAnsi="Perpetua"/>
          <w:sz w:val="26"/>
          <w:szCs w:val="26"/>
          <w:lang w:val="en-GB"/>
        </w:rPr>
        <w:t>s</w:t>
      </w:r>
      <w:r w:rsidRPr="00340E5C">
        <w:rPr>
          <w:rFonts w:ascii="Perpetua" w:hAnsi="Perpetua"/>
          <w:sz w:val="26"/>
          <w:szCs w:val="26"/>
          <w:lang w:val="en-GB"/>
        </w:rPr>
        <w:t xml:space="preserve"> is valued as one of the most important components in the institutional objective achievement and a key factor to achieve success. The Agency has performed continuously training as a priority for the professional qualification of the human resources and composition of the incentive policies for the staff in order to develop the professional qualification in accordance with the its strategic mission and the objectives. These trainings aim to develop the necessary skills for the exercising of the function of each employees, and also as exchange of knowledge and experiences with the Insurance Agencies of other countries which are members of the insurance scheme. The employees of the Agency have participated in yearly conferences and trainings organized even by international institutions such as IADI and EFDI, as a member of these organizations.</w:t>
      </w:r>
    </w:p>
    <w:p w14:paraId="10D1DD8C" w14:textId="77777777" w:rsidR="00F74B35" w:rsidRPr="004A7DA3" w:rsidRDefault="00F74B35" w:rsidP="004A7DA3">
      <w:pPr>
        <w:pStyle w:val="Heading2"/>
        <w:keepLines/>
        <w:numPr>
          <w:ilvl w:val="1"/>
          <w:numId w:val="10"/>
        </w:numPr>
        <w:spacing w:line="259" w:lineRule="auto"/>
        <w:rPr>
          <w:rFonts w:ascii="Perpetua" w:eastAsiaTheme="majorEastAsia" w:hAnsi="Perpetua" w:cstheme="majorBidi"/>
          <w:b/>
          <w:color w:val="FF0000"/>
          <w:sz w:val="28"/>
          <w:lang w:val="sq-AL"/>
        </w:rPr>
      </w:pPr>
      <w:bookmarkStart w:id="86" w:name="_Toc487804089"/>
      <w:r w:rsidRPr="004A7DA3">
        <w:rPr>
          <w:rFonts w:ascii="Perpetua" w:eastAsiaTheme="majorEastAsia" w:hAnsi="Perpetua" w:cstheme="majorBidi"/>
          <w:b/>
          <w:color w:val="FF0000"/>
          <w:sz w:val="28"/>
          <w:lang w:val="sq-AL"/>
        </w:rPr>
        <w:lastRenderedPageBreak/>
        <w:t>Internal audit</w:t>
      </w:r>
      <w:bookmarkEnd w:id="86"/>
    </w:p>
    <w:p w14:paraId="5E2D09B1" w14:textId="77777777" w:rsidR="00F74B35" w:rsidRPr="006044B1" w:rsidRDefault="00F74B35" w:rsidP="00F74B35">
      <w:pPr>
        <w:jc w:val="both"/>
        <w:rPr>
          <w:rFonts w:ascii="Perpetua" w:hAnsi="Perpetua"/>
          <w:sz w:val="26"/>
          <w:szCs w:val="26"/>
        </w:rPr>
      </w:pPr>
    </w:p>
    <w:p w14:paraId="00D9B03C" w14:textId="77777777" w:rsidR="00F74B35" w:rsidRPr="006044B1" w:rsidRDefault="00F74B35" w:rsidP="00F74B35">
      <w:pPr>
        <w:jc w:val="both"/>
        <w:rPr>
          <w:rFonts w:ascii="Perpetua" w:hAnsi="Perpetua"/>
          <w:sz w:val="26"/>
          <w:szCs w:val="26"/>
        </w:rPr>
      </w:pPr>
      <w:r w:rsidRPr="006044B1">
        <w:rPr>
          <w:rFonts w:ascii="Perpetua" w:hAnsi="Perpetua"/>
          <w:sz w:val="26"/>
          <w:szCs w:val="26"/>
        </w:rPr>
        <w:t>The prudent management of operations and risks, is based on the control system through effective policies and procedures to ensure the integrity of its internal controls. The internal audit activity of the Agency for the years 2014 - 2016 is carried out by the contracting of this service with the entity PricewaterhouseCoopers (PWC), member of PricewaterhouseCoopers International Limited network, one of the four most important audit companies in the world, which guarantees the delivery of a quality service and it is in accordance with international standards of the internal audit field.</w:t>
      </w:r>
    </w:p>
    <w:p w14:paraId="3A4A949C" w14:textId="77777777" w:rsidR="00F74B35" w:rsidRPr="006044B1" w:rsidRDefault="00F74B35" w:rsidP="00F74B35">
      <w:pPr>
        <w:jc w:val="both"/>
        <w:rPr>
          <w:rFonts w:ascii="Perpetua" w:hAnsi="Perpetua"/>
          <w:sz w:val="26"/>
          <w:szCs w:val="26"/>
        </w:rPr>
      </w:pPr>
      <w:r w:rsidRPr="006044B1">
        <w:rPr>
          <w:rFonts w:ascii="Perpetua" w:hAnsi="Perpetua"/>
          <w:sz w:val="26"/>
          <w:szCs w:val="26"/>
        </w:rPr>
        <w:t xml:space="preserve">Based on laws, manuals, decisions, instructions and regulations mentioned in the technical specifications, the Internal Audit audits the Agency based on the annual plan of 2015 formally </w:t>
      </w:r>
      <w:r>
        <w:rPr>
          <w:rFonts w:ascii="Perpetua" w:hAnsi="Perpetua"/>
          <w:sz w:val="26"/>
          <w:szCs w:val="26"/>
        </w:rPr>
        <w:t>approved</w:t>
      </w:r>
      <w:r w:rsidRPr="006044B1">
        <w:rPr>
          <w:rFonts w:ascii="Perpetua" w:hAnsi="Perpetua"/>
          <w:sz w:val="26"/>
          <w:szCs w:val="26"/>
        </w:rPr>
        <w:t xml:space="preserve"> by the Board of Directors. The internal audit plan is guided by the objectives and the organizational priorities of the institution and the risks that could impede the Agency in fulfilling these objectives. The objective of the audit by the Internal Audit for 2015 was the approach to risk assessment and evaluation of the control environment. In the sectors and processes that were audited during that year, the focus has been the adaptation of the internal control systems and risk assessment, in order to provide fair assessments on the effectiveness of controls and performance.</w:t>
      </w:r>
    </w:p>
    <w:p w14:paraId="5A3401F5" w14:textId="77777777" w:rsidR="00F74B35" w:rsidRPr="006044B1" w:rsidRDefault="00F74B35" w:rsidP="00F74B35">
      <w:pPr>
        <w:jc w:val="both"/>
        <w:rPr>
          <w:rFonts w:ascii="Perpetua" w:hAnsi="Perpetua"/>
          <w:sz w:val="26"/>
          <w:szCs w:val="26"/>
        </w:rPr>
      </w:pPr>
      <w:r w:rsidRPr="006044B1">
        <w:rPr>
          <w:rFonts w:ascii="Perpetua" w:hAnsi="Perpetua"/>
          <w:sz w:val="26"/>
          <w:szCs w:val="26"/>
        </w:rPr>
        <w:t>The PWC audit during 2015 was exercised in all the priority sectors in the Agency. Also, the audit covered processes and activity in some supporting sectors. From the audit for 2015, it appears that the general assessment is classified in the category of "satisfactory".</w:t>
      </w:r>
    </w:p>
    <w:p w14:paraId="183BFEC8" w14:textId="77777777" w:rsidR="00F74B35" w:rsidRPr="006044B1" w:rsidRDefault="00F74B35" w:rsidP="00F74B35">
      <w:pPr>
        <w:jc w:val="both"/>
        <w:rPr>
          <w:rFonts w:ascii="Perpetua" w:hAnsi="Perpetua"/>
          <w:sz w:val="26"/>
          <w:szCs w:val="26"/>
        </w:rPr>
      </w:pPr>
      <w:r w:rsidRPr="006044B1">
        <w:rPr>
          <w:rFonts w:ascii="Perpetua" w:hAnsi="Perpetua"/>
          <w:sz w:val="26"/>
          <w:szCs w:val="26"/>
        </w:rPr>
        <w:t>At the end of each annual audit conducted according to the approved plan, the audit prepared reports, which, together with the comments of the governing structures of the Agency, were presented to the Board of Directors. In these reports, there were recommendations for improving the Agency's activities and the internal control systems, with the aim to save resources, to promote and encourage the performance and compliance with laws and regulations. The contracted internal audit is responsible to the Board of Directors for following the recommendations to ensure that corrective actions have been</w:t>
      </w:r>
      <w:r>
        <w:rPr>
          <w:rFonts w:ascii="Perpetua" w:hAnsi="Perpetua"/>
          <w:sz w:val="26"/>
          <w:szCs w:val="26"/>
        </w:rPr>
        <w:t xml:space="preserve"> implemented and are effective.</w:t>
      </w:r>
    </w:p>
    <w:p w14:paraId="26521735" w14:textId="6C9FB1BB" w:rsidR="003D0262" w:rsidRPr="00340E5C" w:rsidRDefault="003D0262" w:rsidP="00F74B35">
      <w:pPr>
        <w:pStyle w:val="ecxmsonormal"/>
        <w:spacing w:line="252" w:lineRule="auto"/>
        <w:jc w:val="both"/>
        <w:rPr>
          <w:lang w:val="en-GB"/>
        </w:rPr>
      </w:pPr>
    </w:p>
    <w:sectPr w:rsidR="003D0262" w:rsidRPr="00340E5C" w:rsidSect="00B96A0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 w:author="Martin Blushi" w:date="2016-07-15T10:56:00Z" w:initials="MB">
    <w:p w14:paraId="53F17284" w14:textId="77777777" w:rsidR="00647478" w:rsidRPr="00DA52F8" w:rsidRDefault="00647478" w:rsidP="00647478">
      <w:pPr>
        <w:pStyle w:val="CommentText"/>
        <w:rPr>
          <w:lang w:val="fr-FR"/>
        </w:rPr>
      </w:pPr>
      <w:r>
        <w:rPr>
          <w:rStyle w:val="CommentReference"/>
        </w:rPr>
        <w:annotationRef/>
      </w:r>
      <w:r w:rsidRPr="00DA52F8">
        <w:rPr>
          <w:noProof/>
          <w:lang w:val="fr-FR"/>
        </w:rPr>
        <w:t>jane lene grafiket shqip per te te dhene idene si duhen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F172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31AA0" w14:textId="77777777" w:rsidR="002732A7" w:rsidRDefault="002732A7" w:rsidP="00647478">
      <w:pPr>
        <w:spacing w:after="0" w:line="240" w:lineRule="auto"/>
      </w:pPr>
      <w:r>
        <w:separator/>
      </w:r>
    </w:p>
  </w:endnote>
  <w:endnote w:type="continuationSeparator" w:id="0">
    <w:p w14:paraId="13853A44" w14:textId="77777777" w:rsidR="002732A7" w:rsidRDefault="002732A7" w:rsidP="00647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9904404"/>
      <w:docPartObj>
        <w:docPartGallery w:val="Page Numbers (Bottom of Page)"/>
        <w:docPartUnique/>
      </w:docPartObj>
    </w:sdtPr>
    <w:sdtEndPr>
      <w:rPr>
        <w:rFonts w:ascii="Perpetua" w:hAnsi="Perpetua"/>
        <w:noProof/>
      </w:rPr>
    </w:sdtEndPr>
    <w:sdtContent>
      <w:p w14:paraId="07D6F0F6" w14:textId="77777777" w:rsidR="00E36A3D" w:rsidRPr="00980217" w:rsidRDefault="00E36A3D">
        <w:pPr>
          <w:pStyle w:val="Footer"/>
          <w:jc w:val="right"/>
          <w:rPr>
            <w:rFonts w:ascii="Perpetua" w:hAnsi="Perpetua"/>
          </w:rPr>
        </w:pPr>
        <w:r w:rsidRPr="00980217">
          <w:rPr>
            <w:rFonts w:ascii="Perpetua" w:hAnsi="Perpetua"/>
          </w:rPr>
          <w:fldChar w:fldCharType="begin"/>
        </w:r>
        <w:r w:rsidRPr="00980217">
          <w:rPr>
            <w:rFonts w:ascii="Perpetua" w:hAnsi="Perpetua"/>
          </w:rPr>
          <w:instrText xml:space="preserve"> PAGE   \* MERGEFORMAT </w:instrText>
        </w:r>
        <w:r w:rsidRPr="00980217">
          <w:rPr>
            <w:rFonts w:ascii="Perpetua" w:hAnsi="Perpetua"/>
          </w:rPr>
          <w:fldChar w:fldCharType="separate"/>
        </w:r>
        <w:r>
          <w:rPr>
            <w:rFonts w:ascii="Perpetua" w:hAnsi="Perpetua"/>
            <w:noProof/>
          </w:rPr>
          <w:t>12</w:t>
        </w:r>
        <w:r w:rsidRPr="00980217">
          <w:rPr>
            <w:rFonts w:ascii="Perpetua" w:hAnsi="Perpetua"/>
            <w:noProof/>
          </w:rPr>
          <w:fldChar w:fldCharType="end"/>
        </w:r>
      </w:p>
    </w:sdtContent>
  </w:sdt>
  <w:p w14:paraId="5BE6B467" w14:textId="77777777" w:rsidR="00E36A3D" w:rsidRDefault="00E36A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49F1C" w14:textId="77777777" w:rsidR="002732A7" w:rsidRDefault="002732A7" w:rsidP="00647478">
      <w:pPr>
        <w:spacing w:after="0" w:line="240" w:lineRule="auto"/>
      </w:pPr>
      <w:r>
        <w:separator/>
      </w:r>
    </w:p>
  </w:footnote>
  <w:footnote w:type="continuationSeparator" w:id="0">
    <w:p w14:paraId="3F041022" w14:textId="77777777" w:rsidR="002732A7" w:rsidRDefault="002732A7" w:rsidP="00647478">
      <w:pPr>
        <w:spacing w:after="0" w:line="240" w:lineRule="auto"/>
      </w:pPr>
      <w:r>
        <w:continuationSeparator/>
      </w:r>
    </w:p>
  </w:footnote>
  <w:footnote w:id="1">
    <w:p w14:paraId="61EE4EBF" w14:textId="77777777" w:rsidR="00647478" w:rsidRPr="00E54CB4" w:rsidRDefault="00647478" w:rsidP="00647478">
      <w:pPr>
        <w:pStyle w:val="FootnoteText"/>
        <w:rPr>
          <w:rFonts w:ascii="Perpetua" w:hAnsi="Perpetua"/>
        </w:rPr>
      </w:pPr>
      <w:r w:rsidRPr="00E54CB4">
        <w:rPr>
          <w:rStyle w:val="FootnoteReference"/>
          <w:rFonts w:ascii="Perpetua" w:hAnsi="Perpetua"/>
        </w:rPr>
        <w:footnoteRef/>
      </w:r>
      <w:r w:rsidRPr="00E54CB4">
        <w:rPr>
          <w:rFonts w:ascii="Perpetua" w:hAnsi="Perpetua"/>
        </w:rPr>
        <w:t xml:space="preserve"> Insured deposits represent maximal obligation of Agency against individual depositors.</w:t>
      </w:r>
    </w:p>
  </w:footnote>
  <w:footnote w:id="2">
    <w:p w14:paraId="0E4FE196" w14:textId="77777777" w:rsidR="003D0262" w:rsidRPr="00CA4196" w:rsidRDefault="003D0262" w:rsidP="003D0262">
      <w:pPr>
        <w:pStyle w:val="FootnoteText"/>
        <w:rPr>
          <w:rFonts w:ascii="Perpetua" w:hAnsi="Perpetua"/>
        </w:rPr>
      </w:pPr>
      <w:r w:rsidRPr="00CA4196">
        <w:rPr>
          <w:rStyle w:val="FootnoteReference"/>
          <w:rFonts w:ascii="Perpetua" w:hAnsi="Perpetua"/>
        </w:rPr>
        <w:footnoteRef/>
      </w:r>
      <w:r w:rsidRPr="00CA4196">
        <w:rPr>
          <w:rFonts w:ascii="Perpetua" w:hAnsi="Perpetua"/>
        </w:rPr>
        <w:t xml:space="preserve"> In office </w:t>
      </w:r>
      <w:r>
        <w:rPr>
          <w:rFonts w:ascii="Perpetua" w:hAnsi="Perpetua"/>
        </w:rPr>
        <w:t>from 2</w:t>
      </w:r>
      <w:r w:rsidRPr="00CA4196">
        <w:rPr>
          <w:rFonts w:ascii="Perpetua" w:hAnsi="Perpetua"/>
          <w:vertAlign w:val="superscript"/>
        </w:rPr>
        <w:t>nd</w:t>
      </w:r>
      <w:r>
        <w:rPr>
          <w:rFonts w:ascii="Perpetua" w:hAnsi="Perpetua"/>
        </w:rPr>
        <w:t xml:space="preserve"> of July </w:t>
      </w:r>
      <w:r w:rsidRPr="00CA4196">
        <w:rPr>
          <w:rFonts w:ascii="Perpetua" w:hAnsi="Perpetua"/>
        </w:rPr>
        <w:t>2015.</w:t>
      </w:r>
    </w:p>
  </w:footnote>
  <w:footnote w:id="3">
    <w:p w14:paraId="298DF60F" w14:textId="77777777" w:rsidR="003D0262" w:rsidRPr="00CA4196" w:rsidRDefault="003D0262" w:rsidP="003D0262">
      <w:pPr>
        <w:pStyle w:val="FootnoteText"/>
        <w:rPr>
          <w:rFonts w:ascii="Perpetua" w:hAnsi="Perpetua"/>
        </w:rPr>
      </w:pPr>
      <w:r w:rsidRPr="00CA4196">
        <w:rPr>
          <w:rStyle w:val="FootnoteReference"/>
          <w:rFonts w:ascii="Perpetua" w:hAnsi="Perpetua"/>
        </w:rPr>
        <w:footnoteRef/>
      </w:r>
      <w:r w:rsidRPr="00CA4196">
        <w:rPr>
          <w:rFonts w:ascii="Perpetua" w:hAnsi="Perpetua"/>
        </w:rPr>
        <w:t xml:space="preserve"> </w:t>
      </w:r>
      <w:r>
        <w:rPr>
          <w:rFonts w:ascii="Perpetua" w:hAnsi="Perpetua"/>
        </w:rPr>
        <w:t xml:space="preserve">Serving as Chairman of Board of Directors until </w:t>
      </w:r>
      <w:r w:rsidRPr="00CA4196">
        <w:rPr>
          <w:rFonts w:ascii="Perpetua" w:hAnsi="Perpetua"/>
        </w:rPr>
        <w:t>2</w:t>
      </w:r>
      <w:r w:rsidRPr="00CA4196">
        <w:rPr>
          <w:rFonts w:ascii="Perpetua" w:hAnsi="Perpetua"/>
          <w:vertAlign w:val="superscript"/>
        </w:rPr>
        <w:t>nd</w:t>
      </w:r>
      <w:r>
        <w:rPr>
          <w:rFonts w:ascii="Perpetua" w:hAnsi="Perpetua"/>
        </w:rPr>
        <w:t xml:space="preserve"> of July</w:t>
      </w:r>
      <w:r w:rsidRPr="00CA4196">
        <w:rPr>
          <w:rFonts w:ascii="Perpetua" w:hAnsi="Perpetua"/>
        </w:rPr>
        <w:t xml:space="preserve"> 2015.</w:t>
      </w:r>
    </w:p>
  </w:footnote>
  <w:footnote w:id="4">
    <w:p w14:paraId="46256AA0" w14:textId="77777777" w:rsidR="003D0262" w:rsidRPr="00CA4196" w:rsidRDefault="003D0262" w:rsidP="003D0262">
      <w:pPr>
        <w:pStyle w:val="FootnoteText"/>
        <w:rPr>
          <w:rFonts w:ascii="Perpetua" w:hAnsi="Perpetua"/>
        </w:rPr>
      </w:pPr>
      <w:r w:rsidRPr="00CA4196">
        <w:rPr>
          <w:rStyle w:val="FootnoteReference"/>
        </w:rPr>
        <w:footnoteRef/>
      </w:r>
      <w:r w:rsidRPr="00CA4196">
        <w:t xml:space="preserve"> </w:t>
      </w:r>
      <w:r w:rsidRPr="00CA4196">
        <w:rPr>
          <w:rFonts w:ascii="Perpetua" w:hAnsi="Perpetua"/>
        </w:rPr>
        <w:t>In office from 16</w:t>
      </w:r>
      <w:r w:rsidRPr="00CA4196">
        <w:rPr>
          <w:rFonts w:ascii="Perpetua" w:hAnsi="Perpetua"/>
          <w:vertAlign w:val="superscript"/>
        </w:rPr>
        <w:t>th</w:t>
      </w:r>
      <w:r>
        <w:rPr>
          <w:rFonts w:ascii="Perpetua" w:hAnsi="Perpetua"/>
        </w:rPr>
        <w:t xml:space="preserve"> </w:t>
      </w:r>
      <w:r w:rsidRPr="00CA4196">
        <w:rPr>
          <w:rFonts w:ascii="Perpetua" w:hAnsi="Perpetua"/>
        </w:rPr>
        <w:t>of January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Layout w:type="fixed"/>
      <w:tblCellMar>
        <w:left w:w="0" w:type="dxa"/>
        <w:right w:w="0" w:type="dxa"/>
      </w:tblCellMar>
      <w:tblLook w:val="04A0" w:firstRow="1" w:lastRow="0" w:firstColumn="1" w:lastColumn="0" w:noHBand="0" w:noVBand="1"/>
    </w:tblPr>
    <w:tblGrid>
      <w:gridCol w:w="1276"/>
      <w:gridCol w:w="11765"/>
      <w:gridCol w:w="1276"/>
    </w:tblGrid>
    <w:tr w:rsidR="00E36A3D" w:rsidRPr="00A26888" w14:paraId="7FFDD775" w14:textId="77777777" w:rsidTr="00426061">
      <w:trPr>
        <w:trHeight w:hRule="exact" w:val="1396"/>
      </w:trPr>
      <w:tc>
        <w:tcPr>
          <w:tcW w:w="1276" w:type="dxa"/>
          <w:tcBorders>
            <w:top w:val="none" w:sz="0" w:space="0" w:color="000000"/>
            <w:left w:val="none" w:sz="0" w:space="0" w:color="000000"/>
            <w:bottom w:val="none" w:sz="0" w:space="0" w:color="000000"/>
          </w:tcBorders>
        </w:tcPr>
        <w:p w14:paraId="5007A1D3" w14:textId="77777777" w:rsidR="00E36A3D" w:rsidRPr="00B34F2D" w:rsidRDefault="00E36A3D" w:rsidP="00426061">
          <w:pPr>
            <w:spacing w:after="324"/>
            <w:ind w:right="1913"/>
            <w:jc w:val="right"/>
            <w:rPr>
              <w:rFonts w:ascii="Perpetua" w:hAnsi="Perpetua"/>
            </w:rPr>
          </w:pPr>
        </w:p>
      </w:tc>
      <w:tc>
        <w:tcPr>
          <w:tcW w:w="11765" w:type="dxa"/>
          <w:tcBorders>
            <w:top w:val="none" w:sz="0" w:space="0" w:color="000000"/>
            <w:left w:val="nil"/>
            <w:bottom w:val="none" w:sz="0" w:space="0" w:color="000000"/>
            <w:right w:val="none" w:sz="0" w:space="0" w:color="000000"/>
          </w:tcBorders>
        </w:tcPr>
        <w:p w14:paraId="4FD7F50B" w14:textId="77777777" w:rsidR="00E36A3D" w:rsidRPr="00B34F2D" w:rsidRDefault="00E36A3D" w:rsidP="00426061">
          <w:pPr>
            <w:spacing w:after="0"/>
            <w:ind w:left="39"/>
            <w:jc w:val="right"/>
            <w:rPr>
              <w:rFonts w:ascii="Perpetua" w:hAnsi="Perpetua"/>
              <w:color w:val="000000"/>
              <w:sz w:val="32"/>
            </w:rPr>
          </w:pPr>
        </w:p>
      </w:tc>
      <w:tc>
        <w:tcPr>
          <w:tcW w:w="1276" w:type="dxa"/>
          <w:tcBorders>
            <w:top w:val="none" w:sz="0" w:space="0" w:color="000000"/>
            <w:left w:val="none" w:sz="0" w:space="0" w:color="000000"/>
            <w:bottom w:val="none" w:sz="0" w:space="0" w:color="000000"/>
            <w:right w:val="none" w:sz="0" w:space="0" w:color="000000"/>
          </w:tcBorders>
        </w:tcPr>
        <w:p w14:paraId="2AE07539" w14:textId="77777777" w:rsidR="00E36A3D" w:rsidRPr="00A26888" w:rsidRDefault="00E36A3D" w:rsidP="00426061">
          <w:pPr>
            <w:spacing w:before="108" w:after="0" w:line="240" w:lineRule="auto"/>
            <w:ind w:hanging="284"/>
            <w:jc w:val="right"/>
            <w:rPr>
              <w:rFonts w:ascii="Perpetua" w:hAnsi="Perpetua"/>
              <w:color w:val="000000"/>
              <w:spacing w:val="5"/>
              <w:sz w:val="14"/>
              <w:lang w:val="fr-FR"/>
            </w:rPr>
          </w:pPr>
        </w:p>
      </w:tc>
    </w:tr>
  </w:tbl>
  <w:p w14:paraId="483F95D8" w14:textId="77777777" w:rsidR="00E36A3D" w:rsidRPr="00450A13" w:rsidRDefault="00E36A3D" w:rsidP="00426061">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004B"/>
    <w:multiLevelType w:val="multilevel"/>
    <w:tmpl w:val="C35E5EC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1E3634B7"/>
    <w:multiLevelType w:val="hybridMultilevel"/>
    <w:tmpl w:val="FDDA556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417258E"/>
    <w:multiLevelType w:val="multilevel"/>
    <w:tmpl w:val="68A04C1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393566AF"/>
    <w:multiLevelType w:val="multilevel"/>
    <w:tmpl w:val="439C1FD2"/>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3B270E79"/>
    <w:multiLevelType w:val="multilevel"/>
    <w:tmpl w:val="ED8483DC"/>
    <w:lvl w:ilvl="0">
      <w:start w:val="5"/>
      <w:numFmt w:val="decimal"/>
      <w:lvlText w:val="%1."/>
      <w:lvlJc w:val="left"/>
      <w:pPr>
        <w:ind w:left="480" w:hanging="48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63C13E9E"/>
    <w:multiLevelType w:val="multilevel"/>
    <w:tmpl w:val="4148C638"/>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64851EE7"/>
    <w:multiLevelType w:val="multilevel"/>
    <w:tmpl w:val="62027EDE"/>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76881508"/>
    <w:multiLevelType w:val="multilevel"/>
    <w:tmpl w:val="5EC2D3F0"/>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7E4C740E"/>
    <w:multiLevelType w:val="multilevel"/>
    <w:tmpl w:val="177EC2A6"/>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1"/>
  </w:num>
  <w:num w:numId="6">
    <w:abstractNumId w:val="3"/>
  </w:num>
  <w:num w:numId="7">
    <w:abstractNumId w:val="7"/>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0"/>
  </w:num>
  <w:num w:numId="11">
    <w:abstractNumId w:val="4"/>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Blushi">
    <w15:presenceInfo w15:providerId="AD" w15:userId="S-1-5-21-3208302052-1238138714-927677064-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24"/>
    <w:rsid w:val="000A3B24"/>
    <w:rsid w:val="000E67C8"/>
    <w:rsid w:val="000F7CA2"/>
    <w:rsid w:val="002732A7"/>
    <w:rsid w:val="002B4E2E"/>
    <w:rsid w:val="003D0262"/>
    <w:rsid w:val="004A7DA3"/>
    <w:rsid w:val="004F2109"/>
    <w:rsid w:val="00647478"/>
    <w:rsid w:val="00807405"/>
    <w:rsid w:val="00951828"/>
    <w:rsid w:val="00A86822"/>
    <w:rsid w:val="00B622FF"/>
    <w:rsid w:val="00B62E0F"/>
    <w:rsid w:val="00C30760"/>
    <w:rsid w:val="00C40EC0"/>
    <w:rsid w:val="00D725BE"/>
    <w:rsid w:val="00E36A3D"/>
    <w:rsid w:val="00F52204"/>
    <w:rsid w:val="00F561B0"/>
    <w:rsid w:val="00F74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CE7F6"/>
  <w15:chartTrackingRefBased/>
  <w15:docId w15:val="{58A78CB3-E39C-4912-AB23-5685056D4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B24"/>
    <w:pPr>
      <w:spacing w:line="252" w:lineRule="auto"/>
    </w:pPr>
    <w:rPr>
      <w:rFonts w:ascii="Calibri" w:hAnsi="Calibri" w:cs="Times New Roman"/>
    </w:rPr>
  </w:style>
  <w:style w:type="paragraph" w:styleId="Heading1">
    <w:name w:val="heading 1"/>
    <w:basedOn w:val="Normal"/>
    <w:next w:val="Normal"/>
    <w:link w:val="Heading1Char"/>
    <w:uiPriority w:val="9"/>
    <w:qFormat/>
    <w:rsid w:val="0095182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0A3B24"/>
    <w:pPr>
      <w:keepNext/>
      <w:spacing w:before="40" w:after="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0F7CA2"/>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3B24"/>
    <w:rPr>
      <w:rFonts w:ascii="Calibri Light" w:hAnsi="Calibri Light" w:cs="Times New Roman"/>
      <w:color w:val="2E74B5"/>
      <w:sz w:val="26"/>
      <w:szCs w:val="26"/>
    </w:rPr>
  </w:style>
  <w:style w:type="paragraph" w:styleId="ListParagraph">
    <w:name w:val="List Paragraph"/>
    <w:basedOn w:val="Normal"/>
    <w:uiPriority w:val="99"/>
    <w:qFormat/>
    <w:rsid w:val="000A3B24"/>
    <w:pPr>
      <w:ind w:left="720"/>
      <w:contextualSpacing/>
    </w:pPr>
  </w:style>
  <w:style w:type="character" w:customStyle="1" w:styleId="Heading1Char">
    <w:name w:val="Heading 1 Char"/>
    <w:basedOn w:val="DefaultParagraphFont"/>
    <w:link w:val="Heading1"/>
    <w:uiPriority w:val="9"/>
    <w:rsid w:val="0095182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F7CA2"/>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E67C8"/>
    <w:pPr>
      <w:spacing w:after="0" w:line="240" w:lineRule="auto"/>
    </w:pPr>
    <w:rPr>
      <w:lang w:val="en-US"/>
    </w:rPr>
  </w:style>
  <w:style w:type="paragraph" w:styleId="FootnoteText">
    <w:name w:val="footnote text"/>
    <w:basedOn w:val="Normal"/>
    <w:link w:val="FootnoteTextChar"/>
    <w:uiPriority w:val="99"/>
    <w:semiHidden/>
    <w:unhideWhenUsed/>
    <w:rsid w:val="00647478"/>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47478"/>
    <w:rPr>
      <w:sz w:val="20"/>
      <w:szCs w:val="20"/>
    </w:rPr>
  </w:style>
  <w:style w:type="character" w:styleId="FootnoteReference">
    <w:name w:val="footnote reference"/>
    <w:basedOn w:val="DefaultParagraphFont"/>
    <w:uiPriority w:val="99"/>
    <w:semiHidden/>
    <w:unhideWhenUsed/>
    <w:rsid w:val="00647478"/>
    <w:rPr>
      <w:vertAlign w:val="superscript"/>
    </w:rPr>
  </w:style>
  <w:style w:type="character" w:styleId="CommentReference">
    <w:name w:val="annotation reference"/>
    <w:basedOn w:val="DefaultParagraphFont"/>
    <w:uiPriority w:val="99"/>
    <w:semiHidden/>
    <w:unhideWhenUsed/>
    <w:rsid w:val="00647478"/>
    <w:rPr>
      <w:sz w:val="16"/>
      <w:szCs w:val="16"/>
    </w:rPr>
  </w:style>
  <w:style w:type="paragraph" w:styleId="CommentText">
    <w:name w:val="annotation text"/>
    <w:basedOn w:val="Normal"/>
    <w:link w:val="CommentTextChar"/>
    <w:uiPriority w:val="99"/>
    <w:semiHidden/>
    <w:unhideWhenUsed/>
    <w:rsid w:val="00647478"/>
    <w:pPr>
      <w:spacing w:after="200" w:line="240" w:lineRule="auto"/>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647478"/>
    <w:rPr>
      <w:sz w:val="20"/>
      <w:szCs w:val="20"/>
      <w:lang w:val="en-US"/>
    </w:rPr>
  </w:style>
  <w:style w:type="paragraph" w:styleId="BalloonText">
    <w:name w:val="Balloon Text"/>
    <w:basedOn w:val="Normal"/>
    <w:link w:val="BalloonTextChar"/>
    <w:uiPriority w:val="99"/>
    <w:semiHidden/>
    <w:unhideWhenUsed/>
    <w:rsid w:val="006474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478"/>
    <w:rPr>
      <w:rFonts w:ascii="Segoe UI" w:hAnsi="Segoe UI" w:cs="Segoe UI"/>
      <w:sz w:val="18"/>
      <w:szCs w:val="18"/>
    </w:rPr>
  </w:style>
  <w:style w:type="character" w:customStyle="1" w:styleId="shorttext">
    <w:name w:val="short_text"/>
    <w:basedOn w:val="DefaultParagraphFont"/>
    <w:rsid w:val="003D0262"/>
  </w:style>
  <w:style w:type="paragraph" w:customStyle="1" w:styleId="ecxmsonormal">
    <w:name w:val="ecxmsonormal"/>
    <w:basedOn w:val="Normal"/>
    <w:rsid w:val="003D0262"/>
    <w:pPr>
      <w:spacing w:before="100" w:beforeAutospacing="1" w:after="100" w:afterAutospacing="1" w:line="240" w:lineRule="auto"/>
    </w:pPr>
    <w:rPr>
      <w:rFonts w:ascii="Times New Roman" w:eastAsia="Calibri" w:hAnsi="Times New Roman"/>
      <w:sz w:val="24"/>
      <w:szCs w:val="24"/>
      <w:lang w:val="en-US"/>
    </w:rPr>
  </w:style>
  <w:style w:type="paragraph" w:customStyle="1" w:styleId="Default">
    <w:name w:val="Default"/>
    <w:rsid w:val="00F561B0"/>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E36A3D"/>
    <w:pPr>
      <w:tabs>
        <w:tab w:val="center" w:pos="4513"/>
        <w:tab w:val="right" w:pos="9026"/>
      </w:tabs>
      <w:spacing w:after="0" w:line="240" w:lineRule="auto"/>
    </w:pPr>
    <w:rPr>
      <w:rFonts w:asciiTheme="minorHAnsi" w:hAnsiTheme="minorHAnsi" w:cstheme="minorBidi"/>
    </w:rPr>
  </w:style>
  <w:style w:type="character" w:customStyle="1" w:styleId="HeaderChar">
    <w:name w:val="Header Char"/>
    <w:basedOn w:val="DefaultParagraphFont"/>
    <w:link w:val="Header"/>
    <w:uiPriority w:val="99"/>
    <w:rsid w:val="00E36A3D"/>
  </w:style>
  <w:style w:type="paragraph" w:styleId="Footer">
    <w:name w:val="footer"/>
    <w:basedOn w:val="Normal"/>
    <w:link w:val="FooterChar"/>
    <w:uiPriority w:val="99"/>
    <w:unhideWhenUsed/>
    <w:rsid w:val="00E36A3D"/>
    <w:pPr>
      <w:tabs>
        <w:tab w:val="center" w:pos="4513"/>
        <w:tab w:val="right" w:pos="9026"/>
      </w:tabs>
      <w:spacing w:after="0" w:line="240" w:lineRule="auto"/>
    </w:pPr>
    <w:rPr>
      <w:rFonts w:asciiTheme="minorHAnsi" w:hAnsiTheme="minorHAnsi" w:cstheme="minorBidi"/>
    </w:rPr>
  </w:style>
  <w:style w:type="character" w:customStyle="1" w:styleId="FooterChar">
    <w:name w:val="Footer Char"/>
    <w:basedOn w:val="DefaultParagraphFont"/>
    <w:link w:val="Footer"/>
    <w:uiPriority w:val="99"/>
    <w:rsid w:val="00E36A3D"/>
  </w:style>
  <w:style w:type="paragraph" w:styleId="TOCHeading">
    <w:name w:val="TOC Heading"/>
    <w:basedOn w:val="Heading1"/>
    <w:next w:val="Normal"/>
    <w:uiPriority w:val="39"/>
    <w:unhideWhenUsed/>
    <w:qFormat/>
    <w:rsid w:val="00E36A3D"/>
    <w:pPr>
      <w:outlineLvl w:val="9"/>
    </w:pPr>
    <w:rPr>
      <w:lang w:val="en-US"/>
    </w:rPr>
  </w:style>
  <w:style w:type="paragraph" w:styleId="TOC1">
    <w:name w:val="toc 1"/>
    <w:basedOn w:val="Normal"/>
    <w:next w:val="Normal"/>
    <w:autoRedefine/>
    <w:uiPriority w:val="39"/>
    <w:unhideWhenUsed/>
    <w:rsid w:val="00E36A3D"/>
    <w:pPr>
      <w:spacing w:after="100"/>
    </w:pPr>
  </w:style>
  <w:style w:type="paragraph" w:styleId="TOC2">
    <w:name w:val="toc 2"/>
    <w:basedOn w:val="Normal"/>
    <w:next w:val="Normal"/>
    <w:autoRedefine/>
    <w:uiPriority w:val="39"/>
    <w:unhideWhenUsed/>
    <w:rsid w:val="00E36A3D"/>
    <w:pPr>
      <w:spacing w:after="100"/>
      <w:ind w:left="220"/>
    </w:pPr>
  </w:style>
  <w:style w:type="paragraph" w:styleId="TOC3">
    <w:name w:val="toc 3"/>
    <w:basedOn w:val="Normal"/>
    <w:next w:val="Normal"/>
    <w:autoRedefine/>
    <w:uiPriority w:val="39"/>
    <w:unhideWhenUsed/>
    <w:rsid w:val="00E36A3D"/>
    <w:pPr>
      <w:spacing w:after="100"/>
      <w:ind w:left="440"/>
    </w:pPr>
  </w:style>
  <w:style w:type="character" w:styleId="Hyperlink">
    <w:name w:val="Hyperlink"/>
    <w:basedOn w:val="DefaultParagraphFont"/>
    <w:uiPriority w:val="99"/>
    <w:unhideWhenUsed/>
    <w:rsid w:val="00E36A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82116">
      <w:bodyDiv w:val="1"/>
      <w:marLeft w:val="0"/>
      <w:marRight w:val="0"/>
      <w:marTop w:val="0"/>
      <w:marBottom w:val="0"/>
      <w:divBdr>
        <w:top w:val="none" w:sz="0" w:space="0" w:color="auto"/>
        <w:left w:val="none" w:sz="0" w:space="0" w:color="auto"/>
        <w:bottom w:val="none" w:sz="0" w:space="0" w:color="auto"/>
        <w:right w:val="none" w:sz="0" w:space="0" w:color="auto"/>
      </w:divBdr>
    </w:div>
    <w:div w:id="338702485">
      <w:bodyDiv w:val="1"/>
      <w:marLeft w:val="0"/>
      <w:marRight w:val="0"/>
      <w:marTop w:val="0"/>
      <w:marBottom w:val="0"/>
      <w:divBdr>
        <w:top w:val="none" w:sz="0" w:space="0" w:color="auto"/>
        <w:left w:val="none" w:sz="0" w:space="0" w:color="auto"/>
        <w:bottom w:val="none" w:sz="0" w:space="0" w:color="auto"/>
        <w:right w:val="none" w:sz="0" w:space="0" w:color="auto"/>
      </w:divBdr>
    </w:div>
    <w:div w:id="508913309">
      <w:bodyDiv w:val="1"/>
      <w:marLeft w:val="0"/>
      <w:marRight w:val="0"/>
      <w:marTop w:val="0"/>
      <w:marBottom w:val="0"/>
      <w:divBdr>
        <w:top w:val="none" w:sz="0" w:space="0" w:color="auto"/>
        <w:left w:val="none" w:sz="0" w:space="0" w:color="auto"/>
        <w:bottom w:val="none" w:sz="0" w:space="0" w:color="auto"/>
        <w:right w:val="none" w:sz="0" w:space="0" w:color="auto"/>
      </w:divBdr>
    </w:div>
    <w:div w:id="585892515">
      <w:bodyDiv w:val="1"/>
      <w:marLeft w:val="0"/>
      <w:marRight w:val="0"/>
      <w:marTop w:val="0"/>
      <w:marBottom w:val="0"/>
      <w:divBdr>
        <w:top w:val="none" w:sz="0" w:space="0" w:color="auto"/>
        <w:left w:val="none" w:sz="0" w:space="0" w:color="auto"/>
        <w:bottom w:val="none" w:sz="0" w:space="0" w:color="auto"/>
        <w:right w:val="none" w:sz="0" w:space="0" w:color="auto"/>
      </w:divBdr>
    </w:div>
    <w:div w:id="205326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image" Target="media/image6.png"/><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chart" Target="charts/chart19.xml"/><Relationship Id="rId42" Type="http://schemas.openxmlformats.org/officeDocument/2006/relationships/image" Target="media/image8.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omments" Target="comments.xml"/><Relationship Id="rId29" Type="http://schemas.openxmlformats.org/officeDocument/2006/relationships/chart" Target="charts/chart14.xml"/><Relationship Id="rId41" Type="http://schemas.openxmlformats.org/officeDocument/2006/relationships/image" Target="cid:image006.png@01D1BA6C.E70035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7.png"/><Relationship Id="rId45" Type="http://schemas.openxmlformats.org/officeDocument/2006/relationships/image" Target="cid:image009.png@01D1BA6C.E70035C0"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6.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cid:image008.png@01D1BA6C.E70035C0"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blushi\Desktop\Martin\Public%20AW\Raporte%20Vjetore\ASD\Raporti%202015\Copy%20of%20raporti%20vjetor%202015_sistemi%20bankar_Beni_08%2002%20201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mblushi\Desktop\Martin\Public%20AW\Raporte%20Vjetore\ASD\Raporti%202015\Graf%20shtese%20sipas%20monedhave%20Rap%20vjet'15_nora_08%2002%202016.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blushi\AppData\Local\Microsoft\Windows\Temporary%20Internet%20Files\Content.Outlook\U8DKMZHV\grafiket%20per%20raportin%20vjetor%202015-sent.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blushi\Desktop\Martin\Public%20AW\Raporte%20Vjetore\ASD\Raporti%202015\Copy%20of%20grafiket%20per%20raportin%20vjetor%202015-sent_04%2001%202016.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mblushi\Desktop\Martin\Public%20AW\Raporte%20Vjetore\ASD\Raporti%202015\Copy%20of%20grafiket%20per%20raportin%20vjetor%202015-sent_04%2001%202016.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tringa\Desktop\Raport%20Vjetor%202015\Te%20dhena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stringa\Desktop\Raport%20Vjetor%202015\Te%20dhena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stringa\Desktop\Raport%20Vjetor%202015\Te%20dhena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tringa\Desktop\Raport%20Vjetor%202015\Te%20dhena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stringa\Desktop\Raport%20Vjetor%202015\Te%20dhen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blushi\AppData\Local\Microsoft\Windows\Temporary%20Internet%20Files\Content.Outlook\U8DKMZHV\raporti%20vjetor%202015%20(00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stringa\Desktop\Buxheti%202015\3M%20IV\Pasqyrat%20Financiare%2031%2012%20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stringa\Desktop\Buxheti%202015\3M%20IV\Pasqyrat%20Financiare%2031%2012%2020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stringa\Desktop\Raport%20Vjetor%202015\Pasqyrat%20Financiare%2031%2012%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blushi\Desktop\Martin\Public%20AW\Raporte%20Vjetore\ASD\Raporti%202015\Copy%20of%20raporti%20vjetor%202015_sistemi%20bankar_Beni_08%2002%202016.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blushi\Desktop\Martin\Public%20AW\Raporte%20Vjetore\ASD\Raporti%202015\Copy%20of%20grafiket%20per%20raportin%20vjetor%202015-sent_04%2001%202016.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70203936372362E-2"/>
          <c:y val="0.12828359688530808"/>
          <c:w val="0.84704034876996304"/>
          <c:h val="0.71236186942521118"/>
        </c:manualLayout>
      </c:layout>
      <c:barChart>
        <c:barDir val="col"/>
        <c:grouping val="clustered"/>
        <c:varyColors val="0"/>
        <c:ser>
          <c:idx val="0"/>
          <c:order val="0"/>
          <c:tx>
            <c:strRef>
              <c:f>Sheet1!$C$3</c:f>
              <c:strCache>
                <c:ptCount val="1"/>
                <c:pt idx="0">
                  <c:v>assets</c:v>
                </c:pt>
              </c:strCache>
            </c:strRef>
          </c:tx>
          <c:spPr>
            <a:solidFill>
              <a:srgbClr val="C00000"/>
            </a:solidFill>
            <a:ln>
              <a:noFill/>
            </a:ln>
            <a:effectLst/>
          </c:spPr>
          <c:invertIfNegative val="0"/>
          <c:cat>
            <c:numRef>
              <c:f>Sheet1!$D$2:$I$2</c:f>
              <c:numCache>
                <c:formatCode>General</c:formatCode>
                <c:ptCount val="6"/>
                <c:pt idx="0">
                  <c:v>2010</c:v>
                </c:pt>
                <c:pt idx="1">
                  <c:v>2011</c:v>
                </c:pt>
                <c:pt idx="2">
                  <c:v>2012</c:v>
                </c:pt>
                <c:pt idx="3">
                  <c:v>2013</c:v>
                </c:pt>
                <c:pt idx="4">
                  <c:v>2014</c:v>
                </c:pt>
                <c:pt idx="5">
                  <c:v>2015</c:v>
                </c:pt>
              </c:numCache>
            </c:numRef>
          </c:cat>
          <c:val>
            <c:numRef>
              <c:f>Sheet1!$D$3:$I$3</c:f>
              <c:numCache>
                <c:formatCode>_(* #,##0_);_(* \(#,##0\);_(* "-"??_);_(@_)</c:formatCode>
                <c:ptCount val="6"/>
                <c:pt idx="0" formatCode="_(* #,##0.0_);_(* \(#,##0.0\);_(* &quot;-&quot;??_);_(@_)">
                  <c:v>990631.34410730016</c:v>
                </c:pt>
                <c:pt idx="1">
                  <c:v>1120168.0756905999</c:v>
                </c:pt>
                <c:pt idx="2">
                  <c:v>1187983.3646098</c:v>
                </c:pt>
                <c:pt idx="3">
                  <c:v>1234320.8660834001</c:v>
                </c:pt>
                <c:pt idx="4">
                  <c:v>1293720.84281196</c:v>
                </c:pt>
                <c:pt idx="5">
                  <c:v>1317843.0896536</c:v>
                </c:pt>
              </c:numCache>
            </c:numRef>
          </c:val>
        </c:ser>
        <c:ser>
          <c:idx val="1"/>
          <c:order val="1"/>
          <c:tx>
            <c:strRef>
              <c:f>Sheet1!$C$4</c:f>
              <c:strCache>
                <c:ptCount val="1"/>
                <c:pt idx="0">
                  <c:v>liabilities</c:v>
                </c:pt>
              </c:strCache>
            </c:strRef>
          </c:tx>
          <c:spPr>
            <a:solidFill>
              <a:schemeClr val="bg1">
                <a:lumMod val="50000"/>
              </a:schemeClr>
            </a:solidFill>
            <a:ln>
              <a:noFill/>
            </a:ln>
            <a:effectLst/>
          </c:spPr>
          <c:invertIfNegative val="0"/>
          <c:cat>
            <c:numRef>
              <c:f>Sheet1!$D$2:$I$2</c:f>
              <c:numCache>
                <c:formatCode>General</c:formatCode>
                <c:ptCount val="6"/>
                <c:pt idx="0">
                  <c:v>2010</c:v>
                </c:pt>
                <c:pt idx="1">
                  <c:v>2011</c:v>
                </c:pt>
                <c:pt idx="2">
                  <c:v>2012</c:v>
                </c:pt>
                <c:pt idx="3">
                  <c:v>2013</c:v>
                </c:pt>
                <c:pt idx="4">
                  <c:v>2014</c:v>
                </c:pt>
                <c:pt idx="5">
                  <c:v>2015</c:v>
                </c:pt>
              </c:numCache>
            </c:numRef>
          </c:cat>
          <c:val>
            <c:numRef>
              <c:f>Sheet1!$D$4:$I$4</c:f>
              <c:numCache>
                <c:formatCode>_(* #,##0_);_(* \(#,##0\);_(* "-"??_);_(@_)</c:formatCode>
                <c:ptCount val="6"/>
                <c:pt idx="0">
                  <c:v>885808.47358340002</c:v>
                </c:pt>
                <c:pt idx="1">
                  <c:v>1006772.5266074</c:v>
                </c:pt>
                <c:pt idx="2">
                  <c:v>1067922.018959</c:v>
                </c:pt>
                <c:pt idx="3">
                  <c:v>1104428.8870885</c:v>
                </c:pt>
                <c:pt idx="4">
                  <c:v>1154472.2549882999</c:v>
                </c:pt>
                <c:pt idx="5">
                  <c:v>1160136.6400184999</c:v>
                </c:pt>
              </c:numCache>
            </c:numRef>
          </c:val>
        </c:ser>
        <c:ser>
          <c:idx val="2"/>
          <c:order val="2"/>
          <c:tx>
            <c:strRef>
              <c:f>Sheet1!$C$5</c:f>
              <c:strCache>
                <c:ptCount val="1"/>
                <c:pt idx="0">
                  <c:v>capital </c:v>
                </c:pt>
              </c:strCache>
            </c:strRef>
          </c:tx>
          <c:spPr>
            <a:solidFill>
              <a:schemeClr val="bg2">
                <a:lumMod val="10000"/>
              </a:schemeClr>
            </a:solidFill>
            <a:ln>
              <a:noFill/>
            </a:ln>
            <a:effectLst/>
          </c:spPr>
          <c:invertIfNegative val="0"/>
          <c:cat>
            <c:numRef>
              <c:f>Sheet1!$D$2:$I$2</c:f>
              <c:numCache>
                <c:formatCode>General</c:formatCode>
                <c:ptCount val="6"/>
                <c:pt idx="0">
                  <c:v>2010</c:v>
                </c:pt>
                <c:pt idx="1">
                  <c:v>2011</c:v>
                </c:pt>
                <c:pt idx="2">
                  <c:v>2012</c:v>
                </c:pt>
                <c:pt idx="3">
                  <c:v>2013</c:v>
                </c:pt>
                <c:pt idx="4">
                  <c:v>2014</c:v>
                </c:pt>
                <c:pt idx="5">
                  <c:v>2015</c:v>
                </c:pt>
              </c:numCache>
            </c:numRef>
          </c:cat>
          <c:val>
            <c:numRef>
              <c:f>Sheet1!$D$5:$I$5</c:f>
              <c:numCache>
                <c:formatCode>_(* #,##0_);_(* \(#,##0\);_(* "-"??_);_(@_)</c:formatCode>
                <c:ptCount val="6"/>
                <c:pt idx="0">
                  <c:v>104822.87052390014</c:v>
                </c:pt>
                <c:pt idx="1">
                  <c:v>113395.54908319982</c:v>
                </c:pt>
                <c:pt idx="2">
                  <c:v>120061.34565080004</c:v>
                </c:pt>
                <c:pt idx="3">
                  <c:v>129891.97899490013</c:v>
                </c:pt>
                <c:pt idx="4">
                  <c:v>139248.58782366011</c:v>
                </c:pt>
                <c:pt idx="5">
                  <c:v>157706.44963510009</c:v>
                </c:pt>
              </c:numCache>
            </c:numRef>
          </c:val>
        </c:ser>
        <c:dLbls>
          <c:showLegendKey val="0"/>
          <c:showVal val="0"/>
          <c:showCatName val="0"/>
          <c:showSerName val="0"/>
          <c:showPercent val="0"/>
          <c:showBubbleSize val="0"/>
        </c:dLbls>
        <c:gapWidth val="219"/>
        <c:overlap val="-11"/>
        <c:axId val="535095960"/>
        <c:axId val="535096352"/>
      </c:barChart>
      <c:lineChart>
        <c:grouping val="standard"/>
        <c:varyColors val="0"/>
        <c:ser>
          <c:idx val="3"/>
          <c:order val="3"/>
          <c:tx>
            <c:strRef>
              <c:f>Sheet1!$C$7</c:f>
              <c:strCache>
                <c:ptCount val="1"/>
                <c:pt idx="0">
                  <c:v>CAR %</c:v>
                </c:pt>
              </c:strCache>
            </c:strRef>
          </c:tx>
          <c:spPr>
            <a:ln w="28575" cap="rnd">
              <a:solidFill>
                <a:srgbClr val="FF0000"/>
              </a:solidFill>
              <a:round/>
            </a:ln>
            <a:effectLst/>
          </c:spPr>
          <c:marker>
            <c:symbol val="none"/>
          </c:marker>
          <c:cat>
            <c:numRef>
              <c:f>Sheet1!$D$2:$I$2</c:f>
              <c:numCache>
                <c:formatCode>General</c:formatCode>
                <c:ptCount val="6"/>
                <c:pt idx="0">
                  <c:v>2010</c:v>
                </c:pt>
                <c:pt idx="1">
                  <c:v>2011</c:v>
                </c:pt>
                <c:pt idx="2">
                  <c:v>2012</c:v>
                </c:pt>
                <c:pt idx="3">
                  <c:v>2013</c:v>
                </c:pt>
                <c:pt idx="4">
                  <c:v>2014</c:v>
                </c:pt>
                <c:pt idx="5">
                  <c:v>2015</c:v>
                </c:pt>
              </c:numCache>
            </c:numRef>
          </c:cat>
          <c:val>
            <c:numRef>
              <c:f>Sheet1!$D$7:$I$7</c:f>
              <c:numCache>
                <c:formatCode>_(* #,##0.00_);_(* \(#,##0.00\);_(* "-"??_);_(@_)</c:formatCode>
                <c:ptCount val="6"/>
                <c:pt idx="0">
                  <c:v>15.4</c:v>
                </c:pt>
                <c:pt idx="1">
                  <c:v>15.562692926295934</c:v>
                </c:pt>
                <c:pt idx="2">
                  <c:v>16.172614784689703</c:v>
                </c:pt>
                <c:pt idx="3">
                  <c:v>17.955803422898324</c:v>
                </c:pt>
                <c:pt idx="4">
                  <c:v>16.84036801909177</c:v>
                </c:pt>
                <c:pt idx="5">
                  <c:v>15.723330305524458</c:v>
                </c:pt>
              </c:numCache>
            </c:numRef>
          </c:val>
          <c:smooth val="0"/>
        </c:ser>
        <c:dLbls>
          <c:showLegendKey val="0"/>
          <c:showVal val="0"/>
          <c:showCatName val="0"/>
          <c:showSerName val="0"/>
          <c:showPercent val="0"/>
          <c:showBubbleSize val="0"/>
        </c:dLbls>
        <c:marker val="1"/>
        <c:smooth val="0"/>
        <c:axId val="535099096"/>
        <c:axId val="535098704"/>
      </c:lineChart>
      <c:catAx>
        <c:axId val="53509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5096352"/>
        <c:crosses val="autoZero"/>
        <c:auto val="1"/>
        <c:lblAlgn val="ctr"/>
        <c:lblOffset val="100"/>
        <c:noMultiLvlLbl val="0"/>
      </c:catAx>
      <c:valAx>
        <c:axId val="535096352"/>
        <c:scaling>
          <c:orientation val="minMax"/>
          <c:max val="1500000"/>
          <c:min val="0"/>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5095960"/>
        <c:crosses val="autoZero"/>
        <c:crossBetween val="between"/>
      </c:valAx>
      <c:valAx>
        <c:axId val="535098704"/>
        <c:scaling>
          <c:orientation val="minMax"/>
        </c:scaling>
        <c:delete val="0"/>
        <c:axPos val="r"/>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5099096"/>
        <c:crosses val="max"/>
        <c:crossBetween val="between"/>
      </c:valAx>
      <c:catAx>
        <c:axId val="535099096"/>
        <c:scaling>
          <c:orientation val="minMax"/>
        </c:scaling>
        <c:delete val="1"/>
        <c:axPos val="b"/>
        <c:numFmt formatCode="General" sourceLinked="1"/>
        <c:majorTickMark val="none"/>
        <c:minorTickMark val="none"/>
        <c:tickLblPos val="nextTo"/>
        <c:crossAx val="535098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86925924924"/>
          <c:y val="5.0205385668644444E-2"/>
          <c:w val="0.63325665260122965"/>
          <c:h val="0.84287259619704091"/>
        </c:manualLayout>
      </c:layout>
      <c:lineChart>
        <c:grouping val="standard"/>
        <c:varyColors val="0"/>
        <c:ser>
          <c:idx val="0"/>
          <c:order val="0"/>
          <c:tx>
            <c:strRef>
              <c:f>'[draft grafik per raportin vjetor 2015.xlsx]Sheet1'!$C$24:$C$25</c:f>
              <c:strCache>
                <c:ptCount val="1"/>
                <c:pt idx="0">
                  <c:v>Depozitat e individëve   në lekë</c:v>
                </c:pt>
              </c:strCache>
            </c:strRef>
          </c:tx>
          <c:spPr>
            <a:ln w="31750">
              <a:solidFill>
                <a:srgbClr val="FF0000"/>
              </a:solidFill>
            </a:ln>
          </c:spPr>
          <c:marker>
            <c:symbol val="none"/>
          </c:marker>
          <c:cat>
            <c:numRef>
              <c:f>'[draft grafik per raportin vjetor 2015.xlsx]Sheet1'!$B$26:$B$32</c:f>
              <c:numCache>
                <c:formatCode>General</c:formatCode>
                <c:ptCount val="7"/>
                <c:pt idx="0">
                  <c:v>2009</c:v>
                </c:pt>
                <c:pt idx="1">
                  <c:v>2010</c:v>
                </c:pt>
                <c:pt idx="2">
                  <c:v>2011</c:v>
                </c:pt>
                <c:pt idx="3">
                  <c:v>2012</c:v>
                </c:pt>
                <c:pt idx="4">
                  <c:v>2013</c:v>
                </c:pt>
                <c:pt idx="5">
                  <c:v>2014</c:v>
                </c:pt>
                <c:pt idx="6">
                  <c:v>2015</c:v>
                </c:pt>
              </c:numCache>
            </c:numRef>
          </c:cat>
          <c:val>
            <c:numRef>
              <c:f>'[draft grafik per raportin vjetor 2015.xlsx]Sheet1'!$C$26:$C$32</c:f>
              <c:numCache>
                <c:formatCode>General</c:formatCode>
                <c:ptCount val="7"/>
                <c:pt idx="0">
                  <c:v>322.7217031614436</c:v>
                </c:pt>
                <c:pt idx="1">
                  <c:v>360.62179690887018</c:v>
                </c:pt>
                <c:pt idx="2">
                  <c:v>405.12464826000001</c:v>
                </c:pt>
                <c:pt idx="3">
                  <c:v>430.57332737039991</c:v>
                </c:pt>
                <c:pt idx="4">
                  <c:v>451.97996916525</c:v>
                </c:pt>
                <c:pt idx="5">
                  <c:v>456.9632690599999</c:v>
                </c:pt>
                <c:pt idx="6">
                  <c:v>453.55808076805789</c:v>
                </c:pt>
              </c:numCache>
            </c:numRef>
          </c:val>
          <c:smooth val="0"/>
        </c:ser>
        <c:ser>
          <c:idx val="1"/>
          <c:order val="1"/>
          <c:tx>
            <c:strRef>
              <c:f>'[draft grafik per raportin vjetor 2015.xlsx]Sheet1'!$D$24:$D$25</c:f>
              <c:strCache>
                <c:ptCount val="1"/>
                <c:pt idx="0">
                  <c:v>Depozitat e individëve  në valut</c:v>
                </c:pt>
              </c:strCache>
            </c:strRef>
          </c:tx>
          <c:spPr>
            <a:ln w="31750">
              <a:solidFill>
                <a:schemeClr val="tx1">
                  <a:lumMod val="85000"/>
                  <a:lumOff val="15000"/>
                </a:schemeClr>
              </a:solidFill>
            </a:ln>
          </c:spPr>
          <c:marker>
            <c:symbol val="none"/>
          </c:marker>
          <c:cat>
            <c:numRef>
              <c:f>'[draft grafik per raportin vjetor 2015.xlsx]Sheet1'!$B$26:$B$32</c:f>
              <c:numCache>
                <c:formatCode>General</c:formatCode>
                <c:ptCount val="7"/>
                <c:pt idx="0">
                  <c:v>2009</c:v>
                </c:pt>
                <c:pt idx="1">
                  <c:v>2010</c:v>
                </c:pt>
                <c:pt idx="2">
                  <c:v>2011</c:v>
                </c:pt>
                <c:pt idx="3">
                  <c:v>2012</c:v>
                </c:pt>
                <c:pt idx="4">
                  <c:v>2013</c:v>
                </c:pt>
                <c:pt idx="5">
                  <c:v>2014</c:v>
                </c:pt>
                <c:pt idx="6">
                  <c:v>2015</c:v>
                </c:pt>
              </c:numCache>
            </c:numRef>
          </c:cat>
          <c:val>
            <c:numRef>
              <c:f>'[draft grafik per raportin vjetor 2015.xlsx]Sheet1'!$D$26:$D$32</c:f>
              <c:numCache>
                <c:formatCode>General</c:formatCode>
                <c:ptCount val="7"/>
                <c:pt idx="0">
                  <c:v>244.37403370934112</c:v>
                </c:pt>
                <c:pt idx="1">
                  <c:v>307.0292438273961</c:v>
                </c:pt>
                <c:pt idx="2">
                  <c:v>364.24582011987013</c:v>
                </c:pt>
                <c:pt idx="3">
                  <c:v>400.90110905344989</c:v>
                </c:pt>
                <c:pt idx="4">
                  <c:v>398.63512277387986</c:v>
                </c:pt>
                <c:pt idx="5">
                  <c:v>412.53930719999994</c:v>
                </c:pt>
                <c:pt idx="6">
                  <c:v>435.91576504509254</c:v>
                </c:pt>
              </c:numCache>
            </c:numRef>
          </c:val>
          <c:smooth val="0"/>
        </c:ser>
        <c:ser>
          <c:idx val="2"/>
          <c:order val="2"/>
          <c:tx>
            <c:strRef>
              <c:f>'[draft grafik per raportin vjetor 2015.xlsx]Sheet1'!$E$24:$E$25</c:f>
              <c:strCache>
                <c:ptCount val="1"/>
                <c:pt idx="0">
                  <c:v>Depozitat e siguruara  në lekë</c:v>
                </c:pt>
              </c:strCache>
            </c:strRef>
          </c:tx>
          <c:spPr>
            <a:ln w="31750">
              <a:solidFill>
                <a:schemeClr val="bg1">
                  <a:lumMod val="50000"/>
                </a:schemeClr>
              </a:solidFill>
            </a:ln>
          </c:spPr>
          <c:marker>
            <c:symbol val="none"/>
          </c:marker>
          <c:cat>
            <c:numRef>
              <c:f>'[draft grafik per raportin vjetor 2015.xlsx]Sheet1'!$B$26:$B$32</c:f>
              <c:numCache>
                <c:formatCode>General</c:formatCode>
                <c:ptCount val="7"/>
                <c:pt idx="0">
                  <c:v>2009</c:v>
                </c:pt>
                <c:pt idx="1">
                  <c:v>2010</c:v>
                </c:pt>
                <c:pt idx="2">
                  <c:v>2011</c:v>
                </c:pt>
                <c:pt idx="3">
                  <c:v>2012</c:v>
                </c:pt>
                <c:pt idx="4">
                  <c:v>2013</c:v>
                </c:pt>
                <c:pt idx="5">
                  <c:v>2014</c:v>
                </c:pt>
                <c:pt idx="6">
                  <c:v>2015</c:v>
                </c:pt>
              </c:numCache>
            </c:numRef>
          </c:cat>
          <c:val>
            <c:numRef>
              <c:f>'[draft grafik per raportin vjetor 2015.xlsx]Sheet1'!$E$26:$E$32</c:f>
              <c:numCache>
                <c:formatCode>General</c:formatCode>
                <c:ptCount val="7"/>
                <c:pt idx="0">
                  <c:v>266.63507207712667</c:v>
                </c:pt>
                <c:pt idx="1">
                  <c:v>297.11751952141526</c:v>
                </c:pt>
                <c:pt idx="2">
                  <c:v>325.19796736000006</c:v>
                </c:pt>
                <c:pt idx="3">
                  <c:v>341.84868402437013</c:v>
                </c:pt>
                <c:pt idx="4">
                  <c:v>350.74069030872016</c:v>
                </c:pt>
                <c:pt idx="5">
                  <c:v>351.71395653999986</c:v>
                </c:pt>
                <c:pt idx="6">
                  <c:v>361.7318605023296</c:v>
                </c:pt>
              </c:numCache>
            </c:numRef>
          </c:val>
          <c:smooth val="0"/>
        </c:ser>
        <c:ser>
          <c:idx val="3"/>
          <c:order val="3"/>
          <c:tx>
            <c:strRef>
              <c:f>'[draft grafik per raportin vjetor 2015.xlsx]Sheet1'!$F$24:$F$25</c:f>
              <c:strCache>
                <c:ptCount val="1"/>
                <c:pt idx="0">
                  <c:v>Depozitat e siguruara në valut</c:v>
                </c:pt>
              </c:strCache>
            </c:strRef>
          </c:tx>
          <c:spPr>
            <a:ln w="31750">
              <a:solidFill>
                <a:srgbClr val="C00000"/>
              </a:solidFill>
            </a:ln>
          </c:spPr>
          <c:marker>
            <c:symbol val="none"/>
          </c:marker>
          <c:cat>
            <c:numRef>
              <c:f>'[draft grafik per raportin vjetor 2015.xlsx]Sheet1'!$B$26:$B$32</c:f>
              <c:numCache>
                <c:formatCode>General</c:formatCode>
                <c:ptCount val="7"/>
                <c:pt idx="0">
                  <c:v>2009</c:v>
                </c:pt>
                <c:pt idx="1">
                  <c:v>2010</c:v>
                </c:pt>
                <c:pt idx="2">
                  <c:v>2011</c:v>
                </c:pt>
                <c:pt idx="3">
                  <c:v>2012</c:v>
                </c:pt>
                <c:pt idx="4">
                  <c:v>2013</c:v>
                </c:pt>
                <c:pt idx="5">
                  <c:v>2014</c:v>
                </c:pt>
                <c:pt idx="6">
                  <c:v>2015</c:v>
                </c:pt>
              </c:numCache>
            </c:numRef>
          </c:cat>
          <c:val>
            <c:numRef>
              <c:f>'[draft grafik per raportin vjetor 2015.xlsx]Sheet1'!$F$26:$F$32</c:f>
              <c:numCache>
                <c:formatCode>General</c:formatCode>
                <c:ptCount val="7"/>
                <c:pt idx="0">
                  <c:v>151.21445884907513</c:v>
                </c:pt>
                <c:pt idx="1">
                  <c:v>166.42066841451276</c:v>
                </c:pt>
                <c:pt idx="2">
                  <c:v>217.38877857807603</c:v>
                </c:pt>
                <c:pt idx="3">
                  <c:v>240.0281059353</c:v>
                </c:pt>
                <c:pt idx="4">
                  <c:v>235.49349466055978</c:v>
                </c:pt>
                <c:pt idx="5">
                  <c:v>244.87426851000006</c:v>
                </c:pt>
                <c:pt idx="6">
                  <c:v>267.35399549662134</c:v>
                </c:pt>
              </c:numCache>
            </c:numRef>
          </c:val>
          <c:smooth val="0"/>
        </c:ser>
        <c:dLbls>
          <c:showLegendKey val="0"/>
          <c:showVal val="0"/>
          <c:showCatName val="0"/>
          <c:showSerName val="0"/>
          <c:showPercent val="0"/>
          <c:showBubbleSize val="0"/>
        </c:dLbls>
        <c:smooth val="0"/>
        <c:axId val="534342768"/>
        <c:axId val="534344336"/>
      </c:lineChart>
      <c:catAx>
        <c:axId val="534342768"/>
        <c:scaling>
          <c:orientation val="minMax"/>
        </c:scaling>
        <c:delete val="0"/>
        <c:axPos val="b"/>
        <c:numFmt formatCode="General" sourceLinked="1"/>
        <c:majorTickMark val="out"/>
        <c:minorTickMark val="none"/>
        <c:tickLblPos val="nextTo"/>
        <c:spPr>
          <a:ln>
            <a:solidFill>
              <a:schemeClr val="tx1"/>
            </a:solidFill>
          </a:ln>
        </c:spPr>
        <c:crossAx val="534344336"/>
        <c:crosses val="autoZero"/>
        <c:auto val="1"/>
        <c:lblAlgn val="ctr"/>
        <c:lblOffset val="100"/>
        <c:noMultiLvlLbl val="0"/>
      </c:catAx>
      <c:valAx>
        <c:axId val="534344336"/>
        <c:scaling>
          <c:orientation val="minMax"/>
          <c:min val="100"/>
        </c:scaling>
        <c:delete val="0"/>
        <c:axPos val="l"/>
        <c:majorGridlines>
          <c:spPr>
            <a:ln>
              <a:solidFill>
                <a:schemeClr val="tx1"/>
              </a:solidFill>
            </a:ln>
          </c:spPr>
        </c:majorGridlines>
        <c:title>
          <c:tx>
            <c:rich>
              <a:bodyPr rot="-5400000" vert="horz"/>
              <a:lstStyle/>
              <a:p>
                <a:pPr>
                  <a:defRPr/>
                </a:pPr>
                <a:r>
                  <a:rPr lang="en-US"/>
                  <a:t>shumat e depozitave në mld lekë</a:t>
                </a:r>
              </a:p>
            </c:rich>
          </c:tx>
          <c:overlay val="0"/>
        </c:title>
        <c:numFmt formatCode="General" sourceLinked="1"/>
        <c:majorTickMark val="out"/>
        <c:minorTickMark val="none"/>
        <c:tickLblPos val="nextTo"/>
        <c:spPr>
          <a:ln>
            <a:solidFill>
              <a:schemeClr val="tx1"/>
            </a:solidFill>
          </a:ln>
        </c:spPr>
        <c:crossAx val="534342768"/>
        <c:crosses val="autoZero"/>
        <c:crossBetween val="between"/>
        <c:majorUnit val="50"/>
      </c:valAx>
    </c:plotArea>
    <c:legend>
      <c:legendPos val="r"/>
      <c:layout>
        <c:manualLayout>
          <c:xMode val="edge"/>
          <c:yMode val="edge"/>
          <c:x val="0.76180318027859251"/>
          <c:y val="0.17279529355955117"/>
          <c:w val="0.22398047489472842"/>
          <c:h val="0.72287130242904973"/>
        </c:manualLayout>
      </c:layout>
      <c:overlay val="0"/>
    </c:legend>
    <c:plotVisOnly val="1"/>
    <c:dispBlanksAs val="gap"/>
    <c:showDLblsOverMax val="0"/>
  </c:chart>
  <c:spPr>
    <a:ln>
      <a:noFill/>
    </a:ln>
  </c:spPr>
  <c:txPr>
    <a:bodyPr/>
    <a:lstStyle/>
    <a:p>
      <a:pPr>
        <a:defRPr>
          <a:solidFill>
            <a:sysClr val="windowText" lastClr="000000"/>
          </a:solidFill>
          <a:latin typeface="Perpetua" panose="02020502060401020303"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9395254164658"/>
          <c:y val="0.12010200679312483"/>
          <c:w val="0.49829514167871874"/>
          <c:h val="0.85213338560692919"/>
        </c:manualLayout>
      </c:layout>
      <c:doughnutChart>
        <c:varyColors val="1"/>
        <c:ser>
          <c:idx val="0"/>
          <c:order val="0"/>
          <c:tx>
            <c:strRef>
              <c:f>'graf 4 dhe 5, 5a'!$J$26</c:f>
              <c:strCache>
                <c:ptCount val="1"/>
                <c:pt idx="0">
                  <c:v>shuma në %</c:v>
                </c:pt>
              </c:strCache>
            </c:strRef>
          </c:tx>
          <c:dPt>
            <c:idx val="0"/>
            <c:bubble3D val="0"/>
            <c:spPr>
              <a:solidFill>
                <a:srgbClr val="C00000"/>
              </a:solidFill>
              <a:ln w="19050">
                <a:solidFill>
                  <a:schemeClr val="lt1"/>
                </a:solidFill>
              </a:ln>
              <a:effectLst/>
            </c:spPr>
          </c:dPt>
          <c:dPt>
            <c:idx val="1"/>
            <c:bubble3D val="0"/>
            <c:spPr>
              <a:solidFill>
                <a:schemeClr val="tx1">
                  <a:lumMod val="85000"/>
                  <a:lumOff val="15000"/>
                </a:schemeClr>
              </a:solidFill>
              <a:ln w="19050">
                <a:solidFill>
                  <a:schemeClr val="lt1"/>
                </a:solidFill>
              </a:ln>
              <a:effectLst/>
            </c:spPr>
          </c:dPt>
          <c:dPt>
            <c:idx val="2"/>
            <c:bubble3D val="0"/>
            <c:explosion val="2"/>
            <c:spPr>
              <a:solidFill>
                <a:schemeClr val="bg1">
                  <a:lumMod val="50000"/>
                </a:schemeClr>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bg2">
                  <a:lumMod val="10000"/>
                </a:schemeClr>
              </a:solidFill>
              <a:ln w="19050">
                <a:solidFill>
                  <a:schemeClr val="lt1"/>
                </a:solidFill>
              </a:ln>
              <a:effectLst/>
            </c:spPr>
          </c:dPt>
          <c:dPt>
            <c:idx val="5"/>
            <c:bubble3D val="0"/>
            <c:spPr>
              <a:solidFill>
                <a:schemeClr val="accent6"/>
              </a:soli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1"/>
              <c:showSerName val="0"/>
              <c:showPercent val="1"/>
              <c:showBubbleSize val="0"/>
            </c:dLbl>
            <c:dLbl>
              <c:idx val="1"/>
              <c:layout>
                <c:manualLayout>
                  <c:x val="-9.6045197740112997E-2"/>
                  <c:y val="0.1238390092879257"/>
                </c:manualLayout>
              </c:layout>
              <c:showLegendKey val="0"/>
              <c:showVal val="0"/>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1"/>
              <c:showSerName val="0"/>
              <c:showPercent val="1"/>
              <c:showBubbleSize val="0"/>
            </c:dLbl>
            <c:dLbl>
              <c:idx val="3"/>
              <c:layout>
                <c:manualLayout>
                  <c:x val="-0.18926553672316393"/>
                  <c:y val="-7.739938080495358E-2"/>
                </c:manualLayout>
              </c:layout>
              <c:tx>
                <c:rich>
                  <a:bodyPr/>
                  <a:lstStyle/>
                  <a:p>
                    <a:fld id="{FE57250E-26B4-4AF5-A2F9-37936E3750E8}" type="CATEGORYNAME">
                      <a:rPr lang="en-US"/>
                      <a:pPr/>
                      <a:t>[CATEGORY NAME]</a:t>
                    </a:fld>
                    <a:r>
                      <a:rPr lang="en-US" baseline="0"/>
                      <a:t>
</a:t>
                    </a:r>
                    <a:fld id="{C7067A69-92E6-4603-B49A-4F6CFC234218}" type="VALUE">
                      <a:rPr lang="en-US" baseline="0"/>
                      <a:pPr/>
                      <a:t>[VALUE]</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5.1788478947878026E-17"/>
                  <c:y val="-0.17027863777089788"/>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6101694915254242"/>
                  <c:y val="-0.11351909184726516"/>
                </c:manualLayout>
              </c:layout>
              <c:tx>
                <c:rich>
                  <a:bodyPr/>
                  <a:lstStyle/>
                  <a:p>
                    <a:fld id="{3161745B-A52E-48EF-A7F3-8BBFF7E74DB6}" type="CATEGORYNAME">
                      <a:rPr lang="en-US"/>
                      <a:pPr/>
                      <a:t>[CATEGORY NAME]</a:t>
                    </a:fld>
                    <a:r>
                      <a:rPr lang="en-US" baseline="0"/>
                      <a:t>
</a:t>
                    </a:r>
                    <a:fld id="{88F46C34-AFF2-494F-AAB1-56F40FC00324}" type="VALUE">
                      <a:rPr lang="en-US" baseline="0"/>
                      <a:pPr/>
                      <a:t>[VALUE]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'graf 4 dhe 5, 5a'!$I$27:$I$32</c:f>
              <c:strCache>
                <c:ptCount val="6"/>
                <c:pt idx="0">
                  <c:v>ALL</c:v>
                </c:pt>
                <c:pt idx="1">
                  <c:v>USD</c:v>
                </c:pt>
                <c:pt idx="2">
                  <c:v>EUR</c:v>
                </c:pt>
                <c:pt idx="3">
                  <c:v>CHF</c:v>
                </c:pt>
                <c:pt idx="4">
                  <c:v>GBP</c:v>
                </c:pt>
                <c:pt idx="5">
                  <c:v>CAD</c:v>
                </c:pt>
              </c:strCache>
            </c:strRef>
          </c:cat>
          <c:val>
            <c:numRef>
              <c:f>'graf 4 dhe 5, 5a'!$J$27:$J$32</c:f>
              <c:numCache>
                <c:formatCode>0.0%</c:formatCode>
                <c:ptCount val="6"/>
                <c:pt idx="0">
                  <c:v>0.57501191141536778</c:v>
                </c:pt>
                <c:pt idx="1">
                  <c:v>4.2172801455561564E-2</c:v>
                </c:pt>
                <c:pt idx="2">
                  <c:v>0.37046105382317884</c:v>
                </c:pt>
                <c:pt idx="3">
                  <c:v>5.2017655385204822E-4</c:v>
                </c:pt>
                <c:pt idx="4">
                  <c:v>1.0825361701784721E-2</c:v>
                </c:pt>
                <c:pt idx="5">
                  <c:v>1.0086950502550451E-3</c:v>
                </c:pt>
              </c:numCache>
            </c:numRef>
          </c:val>
        </c:ser>
        <c:dLbls>
          <c:showLegendKey val="0"/>
          <c:showVal val="0"/>
          <c:showCatName val="0"/>
          <c:showSerName val="0"/>
          <c:showPercent val="1"/>
          <c:showBubbleSize val="0"/>
          <c:showLeaderLines val="1"/>
        </c:dLbls>
        <c:firstSliceAng val="0"/>
        <c:holeSize val="47"/>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 IV'!$D$5</c:f>
              <c:strCache>
                <c:ptCount val="1"/>
                <c:pt idx="0">
                  <c:v>Depozitat e individëve  me vlerë deri në limitin e mbulimit</c:v>
                </c:pt>
              </c:strCache>
            </c:strRef>
          </c:tx>
          <c:spPr>
            <a:solidFill>
              <a:sysClr val="window" lastClr="FFFFFF">
                <a:lumMod val="50000"/>
              </a:sysClr>
            </a:solidFill>
          </c:spPr>
          <c:invertIfNegative val="0"/>
          <c:dLbls>
            <c:spPr>
              <a:noFill/>
              <a:ln>
                <a:noFill/>
              </a:ln>
              <a:effectLst/>
            </c:spPr>
            <c:txPr>
              <a:bodyPr/>
              <a:lstStyle/>
              <a:p>
                <a:pPr>
                  <a:defRPr sz="800" b="0">
                    <a:solidFill>
                      <a:sysClr val="windowText" lastClr="000000"/>
                    </a:solidFill>
                    <a:latin typeface="Perpetua" panose="02020502060401020303"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IV'!$B$6:$C$9</c:f>
              <c:strCache>
                <c:ptCount val="4"/>
                <c:pt idx="0">
                  <c:v>Mars 2015</c:v>
                </c:pt>
                <c:pt idx="1">
                  <c:v>Qershor 2015</c:v>
                </c:pt>
                <c:pt idx="2">
                  <c:v>Shtator 2015</c:v>
                </c:pt>
                <c:pt idx="3">
                  <c:v>Dhjetor 2015</c:v>
                </c:pt>
              </c:strCache>
            </c:strRef>
          </c:cat>
          <c:val>
            <c:numRef>
              <c:f>'Graf IV'!$D$6:$D$9</c:f>
              <c:numCache>
                <c:formatCode>#,##0</c:formatCode>
                <c:ptCount val="4"/>
                <c:pt idx="0">
                  <c:v>351.14951953218065</c:v>
                </c:pt>
                <c:pt idx="1">
                  <c:v>339.6645089583094</c:v>
                </c:pt>
                <c:pt idx="2">
                  <c:v>345.50181886059949</c:v>
                </c:pt>
                <c:pt idx="3">
                  <c:v>369.36098603030092</c:v>
                </c:pt>
              </c:numCache>
            </c:numRef>
          </c:val>
        </c:ser>
        <c:ser>
          <c:idx val="1"/>
          <c:order val="1"/>
          <c:tx>
            <c:strRef>
              <c:f>'Graf IV'!$E$5</c:f>
              <c:strCache>
                <c:ptCount val="1"/>
                <c:pt idx="0">
                  <c:v>Depozitat e individëve  me vlerë më të madhe se limiti i mbulimit</c:v>
                </c:pt>
              </c:strCache>
            </c:strRef>
          </c:tx>
          <c:spPr>
            <a:ln>
              <a:solidFill>
                <a:srgbClr val="C00000"/>
              </a:solidFill>
            </a:ln>
          </c:spPr>
          <c:invertIfNegative val="0"/>
          <c:dPt>
            <c:idx val="0"/>
            <c:invertIfNegative val="0"/>
            <c:bubble3D val="0"/>
            <c:spPr>
              <a:solidFill>
                <a:srgbClr val="C00000"/>
              </a:solidFill>
              <a:ln>
                <a:solidFill>
                  <a:srgbClr val="C00000"/>
                </a:solidFill>
              </a:ln>
            </c:spPr>
          </c:dPt>
          <c:dPt>
            <c:idx val="1"/>
            <c:invertIfNegative val="0"/>
            <c:bubble3D val="0"/>
            <c:spPr>
              <a:solidFill>
                <a:srgbClr val="C00000"/>
              </a:solidFill>
              <a:ln>
                <a:solidFill>
                  <a:srgbClr val="C00000"/>
                </a:solidFill>
              </a:ln>
            </c:spPr>
          </c:dPt>
          <c:dPt>
            <c:idx val="2"/>
            <c:invertIfNegative val="0"/>
            <c:bubble3D val="0"/>
            <c:spPr>
              <a:solidFill>
                <a:srgbClr val="C00000"/>
              </a:solidFill>
              <a:ln>
                <a:solidFill>
                  <a:srgbClr val="C00000"/>
                </a:solidFill>
              </a:ln>
            </c:spPr>
          </c:dPt>
          <c:dPt>
            <c:idx val="3"/>
            <c:invertIfNegative val="0"/>
            <c:bubble3D val="0"/>
            <c:spPr>
              <a:solidFill>
                <a:srgbClr val="C00000"/>
              </a:solidFill>
              <a:ln>
                <a:solidFill>
                  <a:srgbClr val="C00000"/>
                </a:solidFill>
              </a:ln>
            </c:spPr>
          </c:dPt>
          <c:dLbls>
            <c:spPr>
              <a:noFill/>
              <a:ln>
                <a:noFill/>
              </a:ln>
              <a:effectLst/>
            </c:spPr>
            <c:txPr>
              <a:bodyPr/>
              <a:lstStyle/>
              <a:p>
                <a:pPr>
                  <a:defRPr sz="800" b="0">
                    <a:solidFill>
                      <a:schemeClr val="bg1"/>
                    </a:solidFill>
                    <a:latin typeface="Perpetua" panose="02020502060401020303"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IV'!$B$6:$C$9</c:f>
              <c:strCache>
                <c:ptCount val="4"/>
                <c:pt idx="0">
                  <c:v>Mars 2015</c:v>
                </c:pt>
                <c:pt idx="1">
                  <c:v>Qershor 2015</c:v>
                </c:pt>
                <c:pt idx="2">
                  <c:v>Shtator 2015</c:v>
                </c:pt>
                <c:pt idx="3">
                  <c:v>Dhjetor 2015</c:v>
                </c:pt>
              </c:strCache>
            </c:strRef>
          </c:cat>
          <c:val>
            <c:numRef>
              <c:f>'Graf IV'!$E$6:$E$9</c:f>
              <c:numCache>
                <c:formatCode>#,##0</c:formatCode>
                <c:ptCount val="4"/>
                <c:pt idx="0">
                  <c:v>525.19920810635949</c:v>
                </c:pt>
                <c:pt idx="1">
                  <c:v>541.30586333363078</c:v>
                </c:pt>
                <c:pt idx="2">
                  <c:v>528.54561931523745</c:v>
                </c:pt>
                <c:pt idx="3">
                  <c:v>520.11285965121942</c:v>
                </c:pt>
              </c:numCache>
            </c:numRef>
          </c:val>
        </c:ser>
        <c:dLbls>
          <c:showLegendKey val="0"/>
          <c:showVal val="0"/>
          <c:showCatName val="0"/>
          <c:showSerName val="0"/>
          <c:showPercent val="0"/>
          <c:showBubbleSize val="0"/>
        </c:dLbls>
        <c:gapWidth val="150"/>
        <c:axId val="534345120"/>
        <c:axId val="534347080"/>
      </c:barChart>
      <c:catAx>
        <c:axId val="534345120"/>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sz="900">
                <a:latin typeface="Perpetua" pitchFamily="18" charset="0"/>
              </a:defRPr>
            </a:pPr>
            <a:endParaRPr lang="en-US"/>
          </a:p>
        </c:txPr>
        <c:crossAx val="534347080"/>
        <c:crosses val="autoZero"/>
        <c:auto val="1"/>
        <c:lblAlgn val="ctr"/>
        <c:lblOffset val="100"/>
        <c:noMultiLvlLbl val="0"/>
      </c:catAx>
      <c:valAx>
        <c:axId val="534347080"/>
        <c:scaling>
          <c:orientation val="minMax"/>
        </c:scaling>
        <c:delete val="0"/>
        <c:axPos val="l"/>
        <c:majorGridlines>
          <c:spPr>
            <a:ln>
              <a:solidFill>
                <a:sysClr val="windowText" lastClr="000000"/>
              </a:solidFill>
            </a:ln>
          </c:spPr>
        </c:majorGridlines>
        <c:title>
          <c:tx>
            <c:rich>
              <a:bodyPr rot="-5400000" vert="horz"/>
              <a:lstStyle/>
              <a:p>
                <a:pPr>
                  <a:defRPr sz="800">
                    <a:latin typeface="Perpetua" pitchFamily="18" charset="0"/>
                  </a:defRPr>
                </a:pPr>
                <a:r>
                  <a:rPr lang="en-US" sz="800" b="0">
                    <a:latin typeface="Perpetua" pitchFamily="18" charset="0"/>
                  </a:rPr>
                  <a:t>vlerat në mld lekë</a:t>
                </a:r>
              </a:p>
            </c:rich>
          </c:tx>
          <c:overlay val="0"/>
        </c:title>
        <c:numFmt formatCode="#,##0" sourceLinked="1"/>
        <c:majorTickMark val="out"/>
        <c:minorTickMark val="none"/>
        <c:tickLblPos val="nextTo"/>
        <c:spPr>
          <a:ln>
            <a:solidFill>
              <a:sysClr val="windowText" lastClr="000000"/>
            </a:solidFill>
          </a:ln>
        </c:spPr>
        <c:txPr>
          <a:bodyPr/>
          <a:lstStyle/>
          <a:p>
            <a:pPr>
              <a:defRPr>
                <a:latin typeface="Perpetua" pitchFamily="18" charset="0"/>
              </a:defRPr>
            </a:pPr>
            <a:endParaRPr lang="en-US"/>
          </a:p>
        </c:txPr>
        <c:crossAx val="534345120"/>
        <c:crosses val="autoZero"/>
        <c:crossBetween val="between"/>
      </c:valAx>
    </c:plotArea>
    <c:legend>
      <c:legendPos val="r"/>
      <c:overlay val="0"/>
      <c:txPr>
        <a:bodyPr/>
        <a:lstStyle/>
        <a:p>
          <a:pPr>
            <a:defRPr>
              <a:latin typeface="Perpetua" pitchFamily="18" charset="0"/>
            </a:defRPr>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 8&amp;9'!$C$55</c:f>
              <c:strCache>
                <c:ptCount val="1"/>
                <c:pt idx="0">
                  <c:v>Shuma e depozitave të individëve deri ne 2.5 mln lekë</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Perpetua" panose="02020502060401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 8&amp;9'!$B$56:$B$62</c:f>
              <c:numCache>
                <c:formatCode>General</c:formatCode>
                <c:ptCount val="7"/>
                <c:pt idx="0">
                  <c:v>2009</c:v>
                </c:pt>
                <c:pt idx="1">
                  <c:v>2010</c:v>
                </c:pt>
                <c:pt idx="2">
                  <c:v>2011</c:v>
                </c:pt>
                <c:pt idx="3">
                  <c:v>2012</c:v>
                </c:pt>
                <c:pt idx="4">
                  <c:v>2013</c:v>
                </c:pt>
                <c:pt idx="5">
                  <c:v>2014</c:v>
                </c:pt>
                <c:pt idx="6">
                  <c:v>2015</c:v>
                </c:pt>
              </c:numCache>
            </c:numRef>
          </c:cat>
          <c:val>
            <c:numRef>
              <c:f>'graf 8&amp;9'!$C$56:$C$62</c:f>
              <c:numCache>
                <c:formatCode>0%</c:formatCode>
                <c:ptCount val="7"/>
                <c:pt idx="0">
                  <c:v>0.48845990683998075</c:v>
                </c:pt>
                <c:pt idx="1">
                  <c:v>0.45235167383182118</c:v>
                </c:pt>
                <c:pt idx="2">
                  <c:v>0.41548999290350241</c:v>
                </c:pt>
                <c:pt idx="3">
                  <c:v>0.40711264814964665</c:v>
                </c:pt>
                <c:pt idx="4">
                  <c:v>0.4020733538969653</c:v>
                </c:pt>
                <c:pt idx="5">
                  <c:v>0.40279321623442843</c:v>
                </c:pt>
                <c:pt idx="6">
                  <c:v>0.41610896908410688</c:v>
                </c:pt>
              </c:numCache>
            </c:numRef>
          </c:val>
        </c:ser>
        <c:ser>
          <c:idx val="1"/>
          <c:order val="1"/>
          <c:tx>
            <c:strRef>
              <c:f>'graf 8&amp;9'!$D$55</c:f>
              <c:strCache>
                <c:ptCount val="1"/>
                <c:pt idx="0">
                  <c:v>Shuma e depozitave të individëve mbi  2.5 mln lekë</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 8&amp;9'!$B$56:$B$62</c:f>
              <c:numCache>
                <c:formatCode>General</c:formatCode>
                <c:ptCount val="7"/>
                <c:pt idx="0">
                  <c:v>2009</c:v>
                </c:pt>
                <c:pt idx="1">
                  <c:v>2010</c:v>
                </c:pt>
                <c:pt idx="2">
                  <c:v>2011</c:v>
                </c:pt>
                <c:pt idx="3">
                  <c:v>2012</c:v>
                </c:pt>
                <c:pt idx="4">
                  <c:v>2013</c:v>
                </c:pt>
                <c:pt idx="5">
                  <c:v>2014</c:v>
                </c:pt>
                <c:pt idx="6">
                  <c:v>2015</c:v>
                </c:pt>
              </c:numCache>
            </c:numRef>
          </c:cat>
          <c:val>
            <c:numRef>
              <c:f>'graf 8&amp;9'!$D$56:$D$62</c:f>
              <c:numCache>
                <c:formatCode>0%</c:formatCode>
                <c:ptCount val="7"/>
                <c:pt idx="0">
                  <c:v>0.51154009316001969</c:v>
                </c:pt>
                <c:pt idx="1">
                  <c:v>0.5476483261681796</c:v>
                </c:pt>
                <c:pt idx="2">
                  <c:v>0.58451000709649759</c:v>
                </c:pt>
                <c:pt idx="3">
                  <c:v>0.59288735185035313</c:v>
                </c:pt>
                <c:pt idx="4">
                  <c:v>0.59792664610303481</c:v>
                </c:pt>
                <c:pt idx="5">
                  <c:v>0.59720678376557157</c:v>
                </c:pt>
                <c:pt idx="6">
                  <c:v>0.58389103091589356</c:v>
                </c:pt>
              </c:numCache>
            </c:numRef>
          </c:val>
        </c:ser>
        <c:dLbls>
          <c:showLegendKey val="0"/>
          <c:showVal val="1"/>
          <c:showCatName val="0"/>
          <c:showSerName val="0"/>
          <c:showPercent val="0"/>
          <c:showBubbleSize val="0"/>
        </c:dLbls>
        <c:gapWidth val="79"/>
        <c:overlap val="100"/>
        <c:axId val="534339632"/>
        <c:axId val="534343944"/>
      </c:barChart>
      <c:catAx>
        <c:axId val="534339632"/>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Perpetua" panose="02020502060401020303" pitchFamily="18" charset="0"/>
                <a:ea typeface="+mn-ea"/>
                <a:cs typeface="+mn-cs"/>
              </a:defRPr>
            </a:pPr>
            <a:endParaRPr lang="en-US"/>
          </a:p>
        </c:txPr>
        <c:crossAx val="534343944"/>
        <c:crosses val="autoZero"/>
        <c:auto val="1"/>
        <c:lblAlgn val="ctr"/>
        <c:lblOffset val="100"/>
        <c:noMultiLvlLbl val="0"/>
      </c:catAx>
      <c:valAx>
        <c:axId val="534343944"/>
        <c:scaling>
          <c:orientation val="minMax"/>
        </c:scaling>
        <c:delete val="1"/>
        <c:axPos val="l"/>
        <c:numFmt formatCode="0%" sourceLinked="1"/>
        <c:majorTickMark val="none"/>
        <c:minorTickMark val="none"/>
        <c:tickLblPos val="nextTo"/>
        <c:crossAx val="53433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621823177542E-2"/>
          <c:y val="5.3260638163035175E-2"/>
          <c:w val="0.93888888888888911"/>
          <c:h val="0.70355073942186752"/>
        </c:manualLayout>
      </c:layout>
      <c:barChart>
        <c:barDir val="col"/>
        <c:grouping val="percentStacked"/>
        <c:varyColors val="0"/>
        <c:ser>
          <c:idx val="0"/>
          <c:order val="0"/>
          <c:tx>
            <c:strRef>
              <c:f>'graf 8&amp;9'!$C$20</c:f>
              <c:strCache>
                <c:ptCount val="1"/>
                <c:pt idx="0">
                  <c:v>Nr. i depozituesve individë me depozita deri në 2.5 mln lekë</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Perpetua" panose="02020502060401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 8&amp;9'!$B$21:$B$27</c:f>
              <c:numCache>
                <c:formatCode>General</c:formatCode>
                <c:ptCount val="7"/>
                <c:pt idx="0">
                  <c:v>2009</c:v>
                </c:pt>
                <c:pt idx="1">
                  <c:v>2010</c:v>
                </c:pt>
                <c:pt idx="2">
                  <c:v>2011</c:v>
                </c:pt>
                <c:pt idx="3">
                  <c:v>2012</c:v>
                </c:pt>
                <c:pt idx="4">
                  <c:v>2013</c:v>
                </c:pt>
                <c:pt idx="5">
                  <c:v>2014</c:v>
                </c:pt>
                <c:pt idx="6">
                  <c:v>2015</c:v>
                </c:pt>
              </c:numCache>
            </c:numRef>
          </c:cat>
          <c:val>
            <c:numRef>
              <c:f>'graf 8&amp;9'!$C$21:$C$27</c:f>
              <c:numCache>
                <c:formatCode>0%</c:formatCode>
                <c:ptCount val="7"/>
                <c:pt idx="0">
                  <c:v>0.96003757337289564</c:v>
                </c:pt>
                <c:pt idx="1">
                  <c:v>0.95725139492539812</c:v>
                </c:pt>
                <c:pt idx="2">
                  <c:v>0.95289992524587441</c:v>
                </c:pt>
                <c:pt idx="3">
                  <c:v>0.95258584599615748</c:v>
                </c:pt>
                <c:pt idx="4">
                  <c:v>0.9525395616944915</c:v>
                </c:pt>
                <c:pt idx="5">
                  <c:v>0.95679008133964305</c:v>
                </c:pt>
                <c:pt idx="6">
                  <c:v>0.95788161740709943</c:v>
                </c:pt>
              </c:numCache>
            </c:numRef>
          </c:val>
        </c:ser>
        <c:ser>
          <c:idx val="1"/>
          <c:order val="1"/>
          <c:tx>
            <c:strRef>
              <c:f>'graf 8&amp;9'!$D$20</c:f>
              <c:strCache>
                <c:ptCount val="1"/>
                <c:pt idx="0">
                  <c:v>Nr. i depozituesve individë me depozita mbi 2.5 mln lekë</c:v>
                </c:pt>
              </c:strCache>
            </c:strRef>
          </c:tx>
          <c:spPr>
            <a:solidFill>
              <a:schemeClr val="bg1">
                <a:lumMod val="50000"/>
              </a:schemeClr>
            </a:solidFill>
            <a:ln>
              <a:noFill/>
            </a:ln>
            <a:effectLst/>
          </c:spPr>
          <c:invertIfNegative val="0"/>
          <c:dLbls>
            <c:delete val="1"/>
          </c:dLbls>
          <c:cat>
            <c:numRef>
              <c:f>'graf 8&amp;9'!$B$21:$B$27</c:f>
              <c:numCache>
                <c:formatCode>General</c:formatCode>
                <c:ptCount val="7"/>
                <c:pt idx="0">
                  <c:v>2009</c:v>
                </c:pt>
                <c:pt idx="1">
                  <c:v>2010</c:v>
                </c:pt>
                <c:pt idx="2">
                  <c:v>2011</c:v>
                </c:pt>
                <c:pt idx="3">
                  <c:v>2012</c:v>
                </c:pt>
                <c:pt idx="4">
                  <c:v>2013</c:v>
                </c:pt>
                <c:pt idx="5">
                  <c:v>2014</c:v>
                </c:pt>
                <c:pt idx="6">
                  <c:v>2015</c:v>
                </c:pt>
              </c:numCache>
            </c:numRef>
          </c:cat>
          <c:val>
            <c:numRef>
              <c:f>'graf 8&amp;9'!$D$21:$D$27</c:f>
              <c:numCache>
                <c:formatCode>0%</c:formatCode>
                <c:ptCount val="7"/>
                <c:pt idx="0">
                  <c:v>3.9962426627104433E-2</c:v>
                </c:pt>
                <c:pt idx="1">
                  <c:v>4.274860507460182E-2</c:v>
                </c:pt>
                <c:pt idx="2">
                  <c:v>4.7100074754126114E-2</c:v>
                </c:pt>
                <c:pt idx="3">
                  <c:v>4.7414154003842558E-2</c:v>
                </c:pt>
                <c:pt idx="4">
                  <c:v>4.7460438305508758E-2</c:v>
                </c:pt>
                <c:pt idx="5">
                  <c:v>4.3209918660357005E-2</c:v>
                </c:pt>
                <c:pt idx="6">
                  <c:v>4.2118382592900967E-2</c:v>
                </c:pt>
              </c:numCache>
            </c:numRef>
          </c:val>
        </c:ser>
        <c:dLbls>
          <c:showLegendKey val="0"/>
          <c:showVal val="1"/>
          <c:showCatName val="0"/>
          <c:showSerName val="0"/>
          <c:showPercent val="0"/>
          <c:showBubbleSize val="0"/>
        </c:dLbls>
        <c:gapWidth val="79"/>
        <c:overlap val="100"/>
        <c:axId val="534342376"/>
        <c:axId val="534340024"/>
      </c:barChart>
      <c:catAx>
        <c:axId val="534342376"/>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Perpetua" panose="02020502060401020303" pitchFamily="18" charset="0"/>
                <a:ea typeface="+mn-ea"/>
                <a:cs typeface="+mn-cs"/>
              </a:defRPr>
            </a:pPr>
            <a:endParaRPr lang="en-US"/>
          </a:p>
        </c:txPr>
        <c:crossAx val="534340024"/>
        <c:crosses val="autoZero"/>
        <c:auto val="1"/>
        <c:lblAlgn val="ctr"/>
        <c:lblOffset val="100"/>
        <c:noMultiLvlLbl val="0"/>
      </c:catAx>
      <c:valAx>
        <c:axId val="534340024"/>
        <c:scaling>
          <c:orientation val="minMax"/>
          <c:min val="0"/>
        </c:scaling>
        <c:delete val="1"/>
        <c:axPos val="l"/>
        <c:numFmt formatCode="0%" sourceLinked="1"/>
        <c:majorTickMark val="none"/>
        <c:minorTickMark val="none"/>
        <c:tickLblPos val="nextTo"/>
        <c:crossAx val="534342376"/>
        <c:crosses val="autoZero"/>
        <c:crossBetween val="between"/>
      </c:valAx>
      <c:spPr>
        <a:noFill/>
        <a:ln>
          <a:noFill/>
        </a:ln>
        <a:effectLst/>
      </c:spPr>
    </c:plotArea>
    <c:legend>
      <c:legendPos val="b"/>
      <c:layout>
        <c:manualLayout>
          <c:xMode val="edge"/>
          <c:yMode val="edge"/>
          <c:x val="0.23638588507225264"/>
          <c:y val="0.83053865658553605"/>
          <c:w val="0.64316048331796349"/>
          <c:h val="0.136768202527157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Sheet1!$B$4</c:f>
              <c:strCache>
                <c:ptCount val="1"/>
                <c:pt idx="0">
                  <c:v>Fondi i Sigurimit te Depozitave ne Banka</c:v>
                </c:pt>
              </c:strCache>
            </c:strRef>
          </c:tx>
          <c:spPr>
            <a:solidFill>
              <a:srgbClr val="C00000"/>
            </a:solidFill>
            <a:ln>
              <a:noFill/>
            </a:ln>
            <a:effectLst/>
          </c:spPr>
          <c:invertIfNegative val="0"/>
          <c:cat>
            <c:numRef>
              <c:f>Sheet1!$A$5:$A$11</c:f>
              <c:numCache>
                <c:formatCode>General</c:formatCode>
                <c:ptCount val="7"/>
                <c:pt idx="0">
                  <c:v>2009</c:v>
                </c:pt>
                <c:pt idx="1">
                  <c:v>2010</c:v>
                </c:pt>
                <c:pt idx="2">
                  <c:v>2011</c:v>
                </c:pt>
                <c:pt idx="3">
                  <c:v>2012</c:v>
                </c:pt>
                <c:pt idx="4">
                  <c:v>2013</c:v>
                </c:pt>
                <c:pt idx="5">
                  <c:v>2014</c:v>
                </c:pt>
                <c:pt idx="6">
                  <c:v>2015</c:v>
                </c:pt>
              </c:numCache>
            </c:numRef>
          </c:cat>
          <c:val>
            <c:numRef>
              <c:f>Sheet1!$B$5:$B$11</c:f>
              <c:numCache>
                <c:formatCode>_(* #,##0.00_);_(* \(#,##0.00\);_(* "-"??_);_(@_)</c:formatCode>
                <c:ptCount val="7"/>
                <c:pt idx="0">
                  <c:v>7910033</c:v>
                </c:pt>
                <c:pt idx="1">
                  <c:v>10447678</c:v>
                </c:pt>
                <c:pt idx="2">
                  <c:v>13371740</c:v>
                </c:pt>
                <c:pt idx="3">
                  <c:v>16756721</c:v>
                </c:pt>
                <c:pt idx="4">
                  <c:v>20477080</c:v>
                </c:pt>
                <c:pt idx="5">
                  <c:v>24045619</c:v>
                </c:pt>
                <c:pt idx="6">
                  <c:v>27667346</c:v>
                </c:pt>
              </c:numCache>
            </c:numRef>
          </c:val>
        </c:ser>
        <c:dLbls>
          <c:showLegendKey val="0"/>
          <c:showVal val="0"/>
          <c:showCatName val="0"/>
          <c:showSerName val="0"/>
          <c:showPercent val="0"/>
          <c:showBubbleSize val="0"/>
        </c:dLbls>
        <c:gapWidth val="219"/>
        <c:overlap val="-27"/>
        <c:axId val="533957184"/>
        <c:axId val="533952872"/>
        <c:extLst>
          <c:ext xmlns:c15="http://schemas.microsoft.com/office/drawing/2012/chart" uri="{02D57815-91ED-43cb-92C2-25804820EDAC}">
            <c15:filteredBarSeries>
              <c15:ser>
                <c:idx val="0"/>
                <c:order val="0"/>
                <c:tx>
                  <c:strRef>
                    <c:extLst>
                      <c:ext uri="{02D57815-91ED-43cb-92C2-25804820EDAC}">
                        <c15:formulaRef>
                          <c15:sqref>Sheet1!$A$4</c15:sqref>
                        </c15:formulaRef>
                      </c:ext>
                    </c:extLst>
                    <c:strCache>
                      <c:ptCount val="1"/>
                      <c:pt idx="0">
                        <c:v>Viti</c:v>
                      </c:pt>
                    </c:strCache>
                  </c:strRef>
                </c:tx>
                <c:spPr>
                  <a:solidFill>
                    <a:schemeClr val="accent1"/>
                  </a:solidFill>
                  <a:ln>
                    <a:noFill/>
                  </a:ln>
                  <a:effectLst/>
                </c:spPr>
                <c:invertIfNegative val="0"/>
                <c:cat>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Sheet1!$C$4</c15:sqref>
                        </c15:formulaRef>
                      </c:ext>
                    </c:extLst>
                    <c:strCache>
                      <c:ptCount val="1"/>
                      <c:pt idx="0">
                        <c:v>Primet e Sigurimit nga Bankat</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Sheet1!$C$5:$C$11</c15:sqref>
                        </c15:formulaRef>
                      </c:ext>
                    </c:extLst>
                    <c:numCache>
                      <c:formatCode>_(* #,##0.00_);_(* \(#,##0.00\);_(* "-"??_);_(@_)</c:formatCode>
                      <c:ptCount val="7"/>
                      <c:pt idx="0">
                        <c:v>1068408</c:v>
                      </c:pt>
                      <c:pt idx="1">
                        <c:v>1941086</c:v>
                      </c:pt>
                      <c:pt idx="2">
                        <c:v>2241387</c:v>
                      </c:pt>
                      <c:pt idx="3">
                        <c:v>2547691</c:v>
                      </c:pt>
                      <c:pt idx="4">
                        <c:v>2775119</c:v>
                      </c:pt>
                      <c:pt idx="5">
                        <c:v>2836807</c:v>
                      </c:pt>
                      <c:pt idx="6">
                        <c:v>2900429</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Sheet1!$D$4</c15:sqref>
                        </c15:formulaRef>
                      </c:ext>
                    </c:extLst>
                    <c:strCache>
                      <c:ptCount val="1"/>
                      <c:pt idx="0">
                        <c:v>Te Ardhurat nga Administrimi i Mjeteve Financiare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Sheet1!$D$5:$D$11</c15:sqref>
                        </c15:formulaRef>
                      </c:ext>
                    </c:extLst>
                    <c:numCache>
                      <c:formatCode>_(* #,##0.00_);_(* \(#,##0.00\);_(* "-"??_);_(@_)</c:formatCode>
                      <c:ptCount val="7"/>
                      <c:pt idx="0">
                        <c:v>447118</c:v>
                      </c:pt>
                      <c:pt idx="1">
                        <c:v>603631</c:v>
                      </c:pt>
                      <c:pt idx="2">
                        <c:v>715056</c:v>
                      </c:pt>
                      <c:pt idx="3">
                        <c:v>901489</c:v>
                      </c:pt>
                      <c:pt idx="4">
                        <c:v>1029437</c:v>
                      </c:pt>
                      <c:pt idx="5">
                        <c:v>803986</c:v>
                      </c:pt>
                      <c:pt idx="6">
                        <c:v>874149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Sheet1!$E$4</c15:sqref>
                        </c15:formulaRef>
                      </c:ext>
                    </c:extLst>
                    <c:strCache>
                      <c:ptCount val="1"/>
                      <c:pt idx="0">
                        <c:v>Depozitat e Siguruara ne Banka</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Sheet1!$E$5:$E$11</c15:sqref>
                        </c15:formulaRef>
                      </c:ext>
                    </c:extLst>
                    <c:numCache>
                      <c:formatCode>_(* #,##0.00_);_(* \(#,##0.00\);_(* "-"??_);_(@_)</c:formatCode>
                      <c:ptCount val="7"/>
                      <c:pt idx="0">
                        <c:v>393114211.82623088</c:v>
                      </c:pt>
                      <c:pt idx="1">
                        <c:v>451339870.32787973</c:v>
                      </c:pt>
                      <c:pt idx="2">
                        <c:v>497393339.88765007</c:v>
                      </c:pt>
                      <c:pt idx="3">
                        <c:v>546104343.82545996</c:v>
                      </c:pt>
                      <c:pt idx="4">
                        <c:v>557004242.38399994</c:v>
                      </c:pt>
                      <c:pt idx="5">
                        <c:v>570595988.1099999</c:v>
                      </c:pt>
                      <c:pt idx="6">
                        <c:v>591119836.50250816</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Sheet1!$F$4</c15:sqref>
                        </c15:formulaRef>
                      </c:ext>
                    </c:extLst>
                    <c:strCache>
                      <c:ptCount val="1"/>
                      <c:pt idx="0">
                        <c:v>Raporti i Mbulimit</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Sheet1!$F$5:$F$11</c15:sqref>
                        </c15:formulaRef>
                      </c:ext>
                    </c:extLst>
                    <c:numCache>
                      <c:formatCode>0.00%</c:formatCode>
                      <c:ptCount val="7"/>
                      <c:pt idx="0">
                        <c:v>2.0121462826931551E-2</c:v>
                      </c:pt>
                      <c:pt idx="1">
                        <c:v>2.3148138879045176E-2</c:v>
                      </c:pt>
                      <c:pt idx="2">
                        <c:v>2.6883632987567494E-2</c:v>
                      </c:pt>
                      <c:pt idx="3">
                        <c:v>3.0684101288444621E-2</c:v>
                      </c:pt>
                      <c:pt idx="4">
                        <c:v>3.676287978051531E-2</c:v>
                      </c:pt>
                      <c:pt idx="5">
                        <c:v>4.2141233904652811E-2</c:v>
                      </c:pt>
                      <c:pt idx="6">
                        <c:v>4.6804969638136316E-2</c:v>
                      </c:pt>
                    </c:numCache>
                  </c:numRef>
                </c:val>
              </c15:ser>
            </c15:filteredBarSeries>
          </c:ext>
        </c:extLst>
      </c:barChart>
      <c:catAx>
        <c:axId val="5339571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2872"/>
        <c:crosses val="autoZero"/>
        <c:auto val="1"/>
        <c:lblAlgn val="ctr"/>
        <c:lblOffset val="100"/>
        <c:noMultiLvlLbl val="0"/>
      </c:catAx>
      <c:valAx>
        <c:axId val="533952872"/>
        <c:scaling>
          <c:orientation val="minMax"/>
        </c:scaling>
        <c:delete val="0"/>
        <c:axPos val="l"/>
        <c:majorGridlines>
          <c:spPr>
            <a:ln w="9525" cap="flat" cmpd="sng" algn="ctr">
              <a:solidFill>
                <a:schemeClr val="tx1"/>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7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Sheet1!$C$4</c:f>
              <c:strCache>
                <c:ptCount val="1"/>
                <c:pt idx="0">
                  <c:v>Primet e Sigurimit nga Bankat</c:v>
                </c:pt>
              </c:strCache>
            </c:strRef>
          </c:tx>
          <c:spPr>
            <a:solidFill>
              <a:schemeClr val="bg1">
                <a:lumMod val="50000"/>
              </a:schemeClr>
            </a:solidFill>
            <a:ln>
              <a:noFill/>
            </a:ln>
            <a:effectLst/>
          </c:spPr>
          <c:invertIfNegative val="0"/>
          <c:cat>
            <c:numRef>
              <c:f>Sheet1!$A$5:$A$11</c:f>
              <c:numCache>
                <c:formatCode>General</c:formatCode>
                <c:ptCount val="7"/>
                <c:pt idx="0">
                  <c:v>2009</c:v>
                </c:pt>
                <c:pt idx="1">
                  <c:v>2010</c:v>
                </c:pt>
                <c:pt idx="2">
                  <c:v>2011</c:v>
                </c:pt>
                <c:pt idx="3">
                  <c:v>2012</c:v>
                </c:pt>
                <c:pt idx="4">
                  <c:v>2013</c:v>
                </c:pt>
                <c:pt idx="5">
                  <c:v>2014</c:v>
                </c:pt>
                <c:pt idx="6">
                  <c:v>2015</c:v>
                </c:pt>
              </c:numCache>
            </c:numRef>
          </c:cat>
          <c:val>
            <c:numRef>
              <c:f>Sheet1!$C$5:$C$11</c:f>
              <c:numCache>
                <c:formatCode>_(* #,##0.00_);_(* \(#,##0.00\);_(* "-"??_);_(@_)</c:formatCode>
                <c:ptCount val="7"/>
                <c:pt idx="0">
                  <c:v>1068408</c:v>
                </c:pt>
                <c:pt idx="1">
                  <c:v>1941086</c:v>
                </c:pt>
                <c:pt idx="2">
                  <c:v>2241387</c:v>
                </c:pt>
                <c:pt idx="3">
                  <c:v>2547691</c:v>
                </c:pt>
                <c:pt idx="4">
                  <c:v>2775119</c:v>
                </c:pt>
                <c:pt idx="5">
                  <c:v>2836807</c:v>
                </c:pt>
                <c:pt idx="6">
                  <c:v>2900429</c:v>
                </c:pt>
              </c:numCache>
            </c:numRef>
          </c:val>
        </c:ser>
        <c:dLbls>
          <c:showLegendKey val="0"/>
          <c:showVal val="0"/>
          <c:showCatName val="0"/>
          <c:showSerName val="0"/>
          <c:showPercent val="0"/>
          <c:showBubbleSize val="0"/>
        </c:dLbls>
        <c:gapWidth val="219"/>
        <c:overlap val="-27"/>
        <c:axId val="533950128"/>
        <c:axId val="533951696"/>
        <c:extLst>
          <c:ext xmlns:c15="http://schemas.microsoft.com/office/drawing/2012/chart" uri="{02D57815-91ED-43cb-92C2-25804820EDAC}">
            <c15:filteredBarSeries>
              <c15:ser>
                <c:idx val="0"/>
                <c:order val="0"/>
                <c:tx>
                  <c:strRef>
                    <c:extLst>
                      <c:ext uri="{02D57815-91ED-43cb-92C2-25804820EDAC}">
                        <c15:formulaRef>
                          <c15:sqref>Sheet1!$A$4</c15:sqref>
                        </c15:formulaRef>
                      </c:ext>
                    </c:extLst>
                    <c:strCache>
                      <c:ptCount val="1"/>
                      <c:pt idx="0">
                        <c:v>Viti</c:v>
                      </c:pt>
                    </c:strCache>
                  </c:strRef>
                </c:tx>
                <c:spPr>
                  <a:solidFill>
                    <a:schemeClr val="accent1"/>
                  </a:solidFill>
                  <a:ln>
                    <a:noFill/>
                  </a:ln>
                  <a:effectLst/>
                </c:spPr>
                <c:invertIfNegative val="0"/>
                <c:cat>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Sheet1!$B$4</c15:sqref>
                        </c15:formulaRef>
                      </c:ext>
                    </c:extLst>
                    <c:strCache>
                      <c:ptCount val="1"/>
                      <c:pt idx="0">
                        <c:v>Fondi i Sigurimit te Depozitave ne Banka</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Sheet1!$B$5:$B$11</c15:sqref>
                        </c15:formulaRef>
                      </c:ext>
                    </c:extLst>
                    <c:numCache>
                      <c:formatCode>_(* #,##0.00_);_(* \(#,##0.00\);_(* "-"??_);_(@_)</c:formatCode>
                      <c:ptCount val="7"/>
                      <c:pt idx="0">
                        <c:v>7910033</c:v>
                      </c:pt>
                      <c:pt idx="1">
                        <c:v>10447678</c:v>
                      </c:pt>
                      <c:pt idx="2">
                        <c:v>13371740</c:v>
                      </c:pt>
                      <c:pt idx="3">
                        <c:v>16756721</c:v>
                      </c:pt>
                      <c:pt idx="4">
                        <c:v>20477080</c:v>
                      </c:pt>
                      <c:pt idx="5">
                        <c:v>24045619</c:v>
                      </c:pt>
                      <c:pt idx="6">
                        <c:v>27667346</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Sheet1!$D$4</c15:sqref>
                        </c15:formulaRef>
                      </c:ext>
                    </c:extLst>
                    <c:strCache>
                      <c:ptCount val="1"/>
                      <c:pt idx="0">
                        <c:v>Te Ardhurat nga Administrimi i Mjeteve Financiare</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Sheet1!$D$5:$D$11</c15:sqref>
                        </c15:formulaRef>
                      </c:ext>
                    </c:extLst>
                    <c:numCache>
                      <c:formatCode>_(* #,##0.00_);_(* \(#,##0.00\);_(* "-"??_);_(@_)</c:formatCode>
                      <c:ptCount val="7"/>
                      <c:pt idx="0">
                        <c:v>447118</c:v>
                      </c:pt>
                      <c:pt idx="1">
                        <c:v>603631</c:v>
                      </c:pt>
                      <c:pt idx="2">
                        <c:v>715056</c:v>
                      </c:pt>
                      <c:pt idx="3">
                        <c:v>901489</c:v>
                      </c:pt>
                      <c:pt idx="4">
                        <c:v>1029437</c:v>
                      </c:pt>
                      <c:pt idx="5">
                        <c:v>803986</c:v>
                      </c:pt>
                      <c:pt idx="6">
                        <c:v>874149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Sheet1!$E$4</c15:sqref>
                        </c15:formulaRef>
                      </c:ext>
                    </c:extLst>
                    <c:strCache>
                      <c:ptCount val="1"/>
                      <c:pt idx="0">
                        <c:v>Depozitat e Siguruara ne Banka</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Sheet1!$E$5:$E$11</c15:sqref>
                        </c15:formulaRef>
                      </c:ext>
                    </c:extLst>
                    <c:numCache>
                      <c:formatCode>_(* #,##0.00_);_(* \(#,##0.00\);_(* "-"??_);_(@_)</c:formatCode>
                      <c:ptCount val="7"/>
                      <c:pt idx="0">
                        <c:v>393114211.82623088</c:v>
                      </c:pt>
                      <c:pt idx="1">
                        <c:v>451339870.32787973</c:v>
                      </c:pt>
                      <c:pt idx="2">
                        <c:v>497393339.88765007</c:v>
                      </c:pt>
                      <c:pt idx="3">
                        <c:v>546104343.82545996</c:v>
                      </c:pt>
                      <c:pt idx="4">
                        <c:v>557004242.38399994</c:v>
                      </c:pt>
                      <c:pt idx="5">
                        <c:v>570595988.1099999</c:v>
                      </c:pt>
                      <c:pt idx="6">
                        <c:v>591119836.50250816</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Sheet1!$F$4</c15:sqref>
                        </c15:formulaRef>
                      </c:ext>
                    </c:extLst>
                    <c:strCache>
                      <c:ptCount val="1"/>
                      <c:pt idx="0">
                        <c:v>Raporti i Mbulimit</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Sheet1!$F$5:$F$11</c15:sqref>
                        </c15:formulaRef>
                      </c:ext>
                    </c:extLst>
                    <c:numCache>
                      <c:formatCode>0.00%</c:formatCode>
                      <c:ptCount val="7"/>
                      <c:pt idx="0">
                        <c:v>2.0121462826931551E-2</c:v>
                      </c:pt>
                      <c:pt idx="1">
                        <c:v>2.3148138879045176E-2</c:v>
                      </c:pt>
                      <c:pt idx="2">
                        <c:v>2.6883632987567494E-2</c:v>
                      </c:pt>
                      <c:pt idx="3">
                        <c:v>3.0684101288444621E-2</c:v>
                      </c:pt>
                      <c:pt idx="4">
                        <c:v>3.676287978051531E-2</c:v>
                      </c:pt>
                      <c:pt idx="5">
                        <c:v>4.2141233904652811E-2</c:v>
                      </c:pt>
                      <c:pt idx="6">
                        <c:v>4.6804969638136316E-2</c:v>
                      </c:pt>
                    </c:numCache>
                  </c:numRef>
                </c:val>
              </c15:ser>
            </c15:filteredBarSeries>
          </c:ext>
        </c:extLst>
      </c:barChart>
      <c:catAx>
        <c:axId val="533950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1696"/>
        <c:crosses val="autoZero"/>
        <c:auto val="1"/>
        <c:lblAlgn val="ctr"/>
        <c:lblOffset val="100"/>
        <c:noMultiLvlLbl val="0"/>
      </c:catAx>
      <c:valAx>
        <c:axId val="533951696"/>
        <c:scaling>
          <c:orientation val="minMax"/>
        </c:scaling>
        <c:delete val="0"/>
        <c:axPos val="l"/>
        <c:majorGridlines>
          <c:spPr>
            <a:ln w="9525" cap="flat" cmpd="sng" algn="ctr">
              <a:solidFill>
                <a:schemeClr val="tx1"/>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0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Sheet1!$D$4</c:f>
              <c:strCache>
                <c:ptCount val="1"/>
                <c:pt idx="0">
                  <c:v>Te Ardhurat nga Administrimi i Mjeteve Financiare</c:v>
                </c:pt>
              </c:strCache>
            </c:strRef>
          </c:tx>
          <c:spPr>
            <a:solidFill>
              <a:schemeClr val="tx1">
                <a:lumMod val="95000"/>
                <a:lumOff val="5000"/>
              </a:schemeClr>
            </a:solidFill>
            <a:ln>
              <a:noFill/>
            </a:ln>
            <a:effectLst/>
          </c:spPr>
          <c:invertIfNegative val="0"/>
          <c:cat>
            <c:numRef>
              <c:f>Sheet1!$A$5:$A$11</c:f>
              <c:numCache>
                <c:formatCode>General</c:formatCode>
                <c:ptCount val="7"/>
                <c:pt idx="0">
                  <c:v>2009</c:v>
                </c:pt>
                <c:pt idx="1">
                  <c:v>2010</c:v>
                </c:pt>
                <c:pt idx="2">
                  <c:v>2011</c:v>
                </c:pt>
                <c:pt idx="3">
                  <c:v>2012</c:v>
                </c:pt>
                <c:pt idx="4">
                  <c:v>2013</c:v>
                </c:pt>
                <c:pt idx="5">
                  <c:v>2014</c:v>
                </c:pt>
                <c:pt idx="6">
                  <c:v>2015</c:v>
                </c:pt>
              </c:numCache>
            </c:numRef>
          </c:cat>
          <c:val>
            <c:numRef>
              <c:f>Sheet1!$D$5:$D$11</c:f>
              <c:numCache>
                <c:formatCode>_(* #,##0.00_);_(* \(#,##0.00\);_(* "-"??_);_(@_)</c:formatCode>
                <c:ptCount val="7"/>
                <c:pt idx="0">
                  <c:v>447118</c:v>
                </c:pt>
                <c:pt idx="1">
                  <c:v>603631</c:v>
                </c:pt>
                <c:pt idx="2">
                  <c:v>715056</c:v>
                </c:pt>
                <c:pt idx="3">
                  <c:v>901489</c:v>
                </c:pt>
                <c:pt idx="4">
                  <c:v>1029437</c:v>
                </c:pt>
                <c:pt idx="5">
                  <c:v>803986</c:v>
                </c:pt>
                <c:pt idx="6">
                  <c:v>874149</c:v>
                </c:pt>
              </c:numCache>
            </c:numRef>
          </c:val>
        </c:ser>
        <c:dLbls>
          <c:showLegendKey val="0"/>
          <c:showVal val="0"/>
          <c:showCatName val="0"/>
          <c:showSerName val="0"/>
          <c:showPercent val="0"/>
          <c:showBubbleSize val="0"/>
        </c:dLbls>
        <c:gapWidth val="219"/>
        <c:overlap val="-27"/>
        <c:axId val="533953656"/>
        <c:axId val="533951304"/>
        <c:extLst>
          <c:ext xmlns:c15="http://schemas.microsoft.com/office/drawing/2012/chart" uri="{02D57815-91ED-43cb-92C2-25804820EDAC}">
            <c15:filteredBarSeries>
              <c15:ser>
                <c:idx val="0"/>
                <c:order val="0"/>
                <c:tx>
                  <c:strRef>
                    <c:extLst>
                      <c:ext uri="{02D57815-91ED-43cb-92C2-25804820EDAC}">
                        <c15:formulaRef>
                          <c15:sqref>Sheet1!$A$4</c15:sqref>
                        </c15:formulaRef>
                      </c:ext>
                    </c:extLst>
                    <c:strCache>
                      <c:ptCount val="1"/>
                      <c:pt idx="0">
                        <c:v>Viti</c:v>
                      </c:pt>
                    </c:strCache>
                  </c:strRef>
                </c:tx>
                <c:spPr>
                  <a:solidFill>
                    <a:schemeClr val="accent6"/>
                  </a:solidFill>
                  <a:ln>
                    <a:noFill/>
                  </a:ln>
                  <a:effectLst/>
                </c:spPr>
                <c:invertIfNegative val="0"/>
                <c:cat>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Sheet1!$B$4</c15:sqref>
                        </c15:formulaRef>
                      </c:ext>
                    </c:extLst>
                    <c:strCache>
                      <c:ptCount val="1"/>
                      <c:pt idx="0">
                        <c:v>Fondi i Sigurimit te Depozitave ne Banka</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Sheet1!$B$5:$B$11</c15:sqref>
                        </c15:formulaRef>
                      </c:ext>
                    </c:extLst>
                    <c:numCache>
                      <c:formatCode>_(* #,##0.00_);_(* \(#,##0.00\);_(* "-"??_);_(@_)</c:formatCode>
                      <c:ptCount val="7"/>
                      <c:pt idx="0">
                        <c:v>7910033</c:v>
                      </c:pt>
                      <c:pt idx="1">
                        <c:v>10447678</c:v>
                      </c:pt>
                      <c:pt idx="2">
                        <c:v>13371740</c:v>
                      </c:pt>
                      <c:pt idx="3">
                        <c:v>16756721</c:v>
                      </c:pt>
                      <c:pt idx="4">
                        <c:v>20477080</c:v>
                      </c:pt>
                      <c:pt idx="5">
                        <c:v>24045619</c:v>
                      </c:pt>
                      <c:pt idx="6">
                        <c:v>27667346</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Sheet1!$C$4</c15:sqref>
                        </c15:formulaRef>
                      </c:ext>
                    </c:extLst>
                    <c:strCache>
                      <c:ptCount val="1"/>
                      <c:pt idx="0">
                        <c:v>Primet e Sigurimit nga Bankat</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Sheet1!$C$5:$C$11</c15:sqref>
                        </c15:formulaRef>
                      </c:ext>
                    </c:extLst>
                    <c:numCache>
                      <c:formatCode>_(* #,##0.00_);_(* \(#,##0.00\);_(* "-"??_);_(@_)</c:formatCode>
                      <c:ptCount val="7"/>
                      <c:pt idx="0">
                        <c:v>1068408</c:v>
                      </c:pt>
                      <c:pt idx="1">
                        <c:v>1941086</c:v>
                      </c:pt>
                      <c:pt idx="2">
                        <c:v>2241387</c:v>
                      </c:pt>
                      <c:pt idx="3">
                        <c:v>2547691</c:v>
                      </c:pt>
                      <c:pt idx="4">
                        <c:v>2775119</c:v>
                      </c:pt>
                      <c:pt idx="5">
                        <c:v>2836807</c:v>
                      </c:pt>
                      <c:pt idx="6">
                        <c:v>2900429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Sheet1!$E$4</c15:sqref>
                        </c15:formulaRef>
                      </c:ext>
                    </c:extLst>
                    <c:strCache>
                      <c:ptCount val="1"/>
                      <c:pt idx="0">
                        <c:v>Depozitat e Siguruara ne Banka</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Sheet1!$E$5:$E$11</c15:sqref>
                        </c15:formulaRef>
                      </c:ext>
                    </c:extLst>
                    <c:numCache>
                      <c:formatCode>_(* #,##0.00_);_(* \(#,##0.00\);_(* "-"??_);_(@_)</c:formatCode>
                      <c:ptCount val="7"/>
                      <c:pt idx="0">
                        <c:v>393114211.82623088</c:v>
                      </c:pt>
                      <c:pt idx="1">
                        <c:v>451339870.32787973</c:v>
                      </c:pt>
                      <c:pt idx="2">
                        <c:v>497393339.88765007</c:v>
                      </c:pt>
                      <c:pt idx="3">
                        <c:v>546104343.82545996</c:v>
                      </c:pt>
                      <c:pt idx="4">
                        <c:v>557004242.38399994</c:v>
                      </c:pt>
                      <c:pt idx="5">
                        <c:v>570595988.1099999</c:v>
                      </c:pt>
                      <c:pt idx="6">
                        <c:v>591119836.50250816</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Sheet1!$F$4</c15:sqref>
                        </c15:formulaRef>
                      </c:ext>
                    </c:extLst>
                    <c:strCache>
                      <c:ptCount val="1"/>
                      <c:pt idx="0">
                        <c:v>Raporti i Mbulimit</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Sheet1!$F$5:$F$11</c15:sqref>
                        </c15:formulaRef>
                      </c:ext>
                    </c:extLst>
                    <c:numCache>
                      <c:formatCode>0.00%</c:formatCode>
                      <c:ptCount val="7"/>
                      <c:pt idx="0">
                        <c:v>2.0121462826931551E-2</c:v>
                      </c:pt>
                      <c:pt idx="1">
                        <c:v>2.3148138879045176E-2</c:v>
                      </c:pt>
                      <c:pt idx="2">
                        <c:v>2.6883632987567494E-2</c:v>
                      </c:pt>
                      <c:pt idx="3">
                        <c:v>3.0684101288444621E-2</c:v>
                      </c:pt>
                      <c:pt idx="4">
                        <c:v>3.676287978051531E-2</c:v>
                      </c:pt>
                      <c:pt idx="5">
                        <c:v>4.2141233904652811E-2</c:v>
                      </c:pt>
                      <c:pt idx="6">
                        <c:v>4.6804969638136316E-2</c:v>
                      </c:pt>
                    </c:numCache>
                  </c:numRef>
                </c:val>
              </c15:ser>
            </c15:filteredBarSeries>
          </c:ext>
        </c:extLst>
      </c:barChart>
      <c:catAx>
        <c:axId val="5339536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1304"/>
        <c:crosses val="autoZero"/>
        <c:auto val="1"/>
        <c:lblAlgn val="ctr"/>
        <c:lblOffset val="100"/>
        <c:noMultiLvlLbl val="0"/>
      </c:catAx>
      <c:valAx>
        <c:axId val="533951304"/>
        <c:scaling>
          <c:orientation val="minMax"/>
        </c:scaling>
        <c:delete val="0"/>
        <c:axPos val="l"/>
        <c:majorGridlines>
          <c:spPr>
            <a:ln w="9525" cap="flat" cmpd="sng" algn="ctr">
              <a:solidFill>
                <a:schemeClr val="tx1"/>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3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4"/>
          <c:order val="4"/>
          <c:tx>
            <c:strRef>
              <c:f>Sheet1!$E$4</c:f>
              <c:strCache>
                <c:ptCount val="1"/>
                <c:pt idx="0">
                  <c:v>Depozitat e Siguruara ne Banka</c:v>
                </c:pt>
              </c:strCache>
            </c:strRef>
          </c:tx>
          <c:spPr>
            <a:solidFill>
              <a:srgbClr val="C00000"/>
            </a:solidFill>
            <a:ln>
              <a:noFill/>
            </a:ln>
            <a:effectLst/>
          </c:spPr>
          <c:invertIfNegative val="0"/>
          <c:cat>
            <c:numRef>
              <c:f>Sheet1!$A$5:$A$11</c:f>
              <c:numCache>
                <c:formatCode>General</c:formatCode>
                <c:ptCount val="7"/>
                <c:pt idx="0">
                  <c:v>2009</c:v>
                </c:pt>
                <c:pt idx="1">
                  <c:v>2010</c:v>
                </c:pt>
                <c:pt idx="2">
                  <c:v>2011</c:v>
                </c:pt>
                <c:pt idx="3">
                  <c:v>2012</c:v>
                </c:pt>
                <c:pt idx="4">
                  <c:v>2013</c:v>
                </c:pt>
                <c:pt idx="5">
                  <c:v>2014</c:v>
                </c:pt>
                <c:pt idx="6">
                  <c:v>2015</c:v>
                </c:pt>
              </c:numCache>
            </c:numRef>
          </c:cat>
          <c:val>
            <c:numRef>
              <c:f>Sheet1!$E$5:$E$11</c:f>
              <c:numCache>
                <c:formatCode>_(* #,##0.00_);_(* \(#,##0.00\);_(* "-"??_);_(@_)</c:formatCode>
                <c:ptCount val="7"/>
                <c:pt idx="0">
                  <c:v>393114211.82623059</c:v>
                </c:pt>
                <c:pt idx="1">
                  <c:v>451339870.32787985</c:v>
                </c:pt>
                <c:pt idx="2">
                  <c:v>497393339.88765007</c:v>
                </c:pt>
                <c:pt idx="3">
                  <c:v>546104343.82545924</c:v>
                </c:pt>
                <c:pt idx="4">
                  <c:v>557004242.38399994</c:v>
                </c:pt>
                <c:pt idx="5">
                  <c:v>570595988.1099999</c:v>
                </c:pt>
                <c:pt idx="6">
                  <c:v>591119836.50250816</c:v>
                </c:pt>
              </c:numCache>
            </c:numRef>
          </c:val>
        </c:ser>
        <c:ser>
          <c:idx val="5"/>
          <c:order val="5"/>
          <c:tx>
            <c:strRef>
              <c:f>Sheet1!$F$4</c:f>
              <c:strCache>
                <c:ptCount val="1"/>
                <c:pt idx="0">
                  <c:v>Raporti i Mbulimit</c:v>
                </c:pt>
              </c:strCache>
            </c:strRef>
          </c:tx>
          <c:spPr>
            <a:solidFill>
              <a:schemeClr val="accent4">
                <a:shade val="50000"/>
              </a:schemeClr>
            </a:solidFill>
            <a:ln>
              <a:noFill/>
            </a:ln>
            <a:effectLst/>
          </c:spPr>
          <c:invertIfNegative val="0"/>
          <c:cat>
            <c:numRef>
              <c:f>Sheet1!$A$5:$A$11</c:f>
              <c:numCache>
                <c:formatCode>General</c:formatCode>
                <c:ptCount val="7"/>
                <c:pt idx="0">
                  <c:v>2009</c:v>
                </c:pt>
                <c:pt idx="1">
                  <c:v>2010</c:v>
                </c:pt>
                <c:pt idx="2">
                  <c:v>2011</c:v>
                </c:pt>
                <c:pt idx="3">
                  <c:v>2012</c:v>
                </c:pt>
                <c:pt idx="4">
                  <c:v>2013</c:v>
                </c:pt>
                <c:pt idx="5">
                  <c:v>2014</c:v>
                </c:pt>
                <c:pt idx="6">
                  <c:v>2015</c:v>
                </c:pt>
              </c:numCache>
            </c:numRef>
          </c:cat>
          <c:val>
            <c:numRef>
              <c:f>Sheet1!$F$5:$F$11</c:f>
              <c:numCache>
                <c:formatCode>0.00%</c:formatCode>
                <c:ptCount val="7"/>
                <c:pt idx="0">
                  <c:v>2.0121462826931547E-2</c:v>
                </c:pt>
                <c:pt idx="1">
                  <c:v>2.3148138879045186E-2</c:v>
                </c:pt>
                <c:pt idx="2">
                  <c:v>2.6883632987567529E-2</c:v>
                </c:pt>
                <c:pt idx="3">
                  <c:v>3.0684101288444645E-2</c:v>
                </c:pt>
                <c:pt idx="4">
                  <c:v>3.6762879780515338E-2</c:v>
                </c:pt>
                <c:pt idx="5">
                  <c:v>4.2141233904652811E-2</c:v>
                </c:pt>
                <c:pt idx="6">
                  <c:v>4.6804969638136351E-2</c:v>
                </c:pt>
              </c:numCache>
            </c:numRef>
          </c:val>
        </c:ser>
        <c:dLbls>
          <c:showLegendKey val="0"/>
          <c:showVal val="0"/>
          <c:showCatName val="0"/>
          <c:showSerName val="0"/>
          <c:showPercent val="0"/>
          <c:showBubbleSize val="0"/>
        </c:dLbls>
        <c:gapWidth val="106"/>
        <c:axId val="533950912"/>
        <c:axId val="533953264"/>
        <c:extLst>
          <c:ext xmlns:c15="http://schemas.microsoft.com/office/drawing/2012/chart" uri="{02D57815-91ED-43cb-92C2-25804820EDAC}">
            <c15:filteredBarSeries>
              <c15:ser>
                <c:idx val="0"/>
                <c:order val="0"/>
                <c:tx>
                  <c:strRef>
                    <c:extLst>
                      <c:ext uri="{02D57815-91ED-43cb-92C2-25804820EDAC}">
                        <c15:formulaRef>
                          <c15:sqref>Sheet1!$A$4</c15:sqref>
                        </c15:formulaRef>
                      </c:ext>
                    </c:extLst>
                    <c:strCache>
                      <c:ptCount val="1"/>
                      <c:pt idx="0">
                        <c:v>Viti</c:v>
                      </c:pt>
                    </c:strCache>
                  </c:strRef>
                </c:tx>
                <c:spPr>
                  <a:solidFill>
                    <a:schemeClr val="accent4">
                      <a:tint val="50000"/>
                    </a:schemeClr>
                  </a:solidFill>
                  <a:ln>
                    <a:noFill/>
                  </a:ln>
                  <a:effectLst/>
                </c:spPr>
                <c:invertIfNegative val="0"/>
                <c:cat>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Sheet1!$B$4</c15:sqref>
                        </c15:formulaRef>
                      </c:ext>
                    </c:extLst>
                    <c:strCache>
                      <c:ptCount val="1"/>
                      <c:pt idx="0">
                        <c:v>Fondi i Sigurimit te Depozitave ne Banka</c:v>
                      </c:pt>
                    </c:strCache>
                  </c:strRef>
                </c:tx>
                <c:spPr>
                  <a:solidFill>
                    <a:schemeClr val="accent4">
                      <a:tint val="7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Sheet1!$B$5:$B$11</c15:sqref>
                        </c15:formulaRef>
                      </c:ext>
                    </c:extLst>
                    <c:numCache>
                      <c:formatCode>_(* #,##0.00_);_(* \(#,##0.00\);_(* "-"??_);_(@_)</c:formatCode>
                      <c:ptCount val="7"/>
                      <c:pt idx="0">
                        <c:v>7910033</c:v>
                      </c:pt>
                      <c:pt idx="1">
                        <c:v>10447678</c:v>
                      </c:pt>
                      <c:pt idx="2">
                        <c:v>13371740</c:v>
                      </c:pt>
                      <c:pt idx="3">
                        <c:v>16756721</c:v>
                      </c:pt>
                      <c:pt idx="4">
                        <c:v>20477080</c:v>
                      </c:pt>
                      <c:pt idx="5">
                        <c:v>24045619</c:v>
                      </c:pt>
                      <c:pt idx="6">
                        <c:v>27667346</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Sheet1!$C$4</c15:sqref>
                        </c15:formulaRef>
                      </c:ext>
                    </c:extLst>
                    <c:strCache>
                      <c:ptCount val="1"/>
                      <c:pt idx="0">
                        <c:v>Primet e Sigurimit nga Bankat</c:v>
                      </c:pt>
                    </c:strCache>
                  </c:strRef>
                </c:tx>
                <c:spPr>
                  <a:solidFill>
                    <a:schemeClr val="accent4">
                      <a:tint val="9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Sheet1!$C$5:$C$11</c15:sqref>
                        </c15:formulaRef>
                      </c:ext>
                    </c:extLst>
                    <c:numCache>
                      <c:formatCode>_(* #,##0.00_);_(* \(#,##0.00\);_(* "-"??_);_(@_)</c:formatCode>
                      <c:ptCount val="7"/>
                      <c:pt idx="0">
                        <c:v>1068408</c:v>
                      </c:pt>
                      <c:pt idx="1">
                        <c:v>1941086</c:v>
                      </c:pt>
                      <c:pt idx="2">
                        <c:v>2241387</c:v>
                      </c:pt>
                      <c:pt idx="3">
                        <c:v>2547691</c:v>
                      </c:pt>
                      <c:pt idx="4">
                        <c:v>2775119</c:v>
                      </c:pt>
                      <c:pt idx="5">
                        <c:v>2836807</c:v>
                      </c:pt>
                      <c:pt idx="6">
                        <c:v>2900429</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Sheet1!$D$4</c15:sqref>
                        </c15:formulaRef>
                      </c:ext>
                    </c:extLst>
                    <c:strCache>
                      <c:ptCount val="1"/>
                      <c:pt idx="0">
                        <c:v>Te Ardhurat nga Administrimi i Mjeteve Financiare</c:v>
                      </c:pt>
                    </c:strCache>
                  </c:strRef>
                </c:tx>
                <c:spPr>
                  <a:solidFill>
                    <a:schemeClr val="accent4">
                      <a:shade val="9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Sheet1!$D$5:$D$11</c15:sqref>
                        </c15:formulaRef>
                      </c:ext>
                    </c:extLst>
                    <c:numCache>
                      <c:formatCode>_(* #,##0.00_);_(* \(#,##0.00\);_(* "-"??_);_(@_)</c:formatCode>
                      <c:ptCount val="7"/>
                      <c:pt idx="0">
                        <c:v>447118</c:v>
                      </c:pt>
                      <c:pt idx="1">
                        <c:v>603631</c:v>
                      </c:pt>
                      <c:pt idx="2">
                        <c:v>715056</c:v>
                      </c:pt>
                      <c:pt idx="3">
                        <c:v>901489</c:v>
                      </c:pt>
                      <c:pt idx="4">
                        <c:v>1029437</c:v>
                      </c:pt>
                      <c:pt idx="5">
                        <c:v>803986</c:v>
                      </c:pt>
                      <c:pt idx="6">
                        <c:v>874149</c:v>
                      </c:pt>
                    </c:numCache>
                  </c:numRef>
                </c:val>
              </c15:ser>
            </c15:filteredBarSeries>
          </c:ext>
        </c:extLst>
      </c:barChart>
      <c:catAx>
        <c:axId val="5339509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3264"/>
        <c:crosses val="autoZero"/>
        <c:auto val="1"/>
        <c:lblAlgn val="ctr"/>
        <c:lblOffset val="100"/>
        <c:noMultiLvlLbl val="0"/>
      </c:catAx>
      <c:valAx>
        <c:axId val="533953264"/>
        <c:scaling>
          <c:orientation val="minMax"/>
        </c:scaling>
        <c:delete val="0"/>
        <c:axPos val="l"/>
        <c:majorGridlines>
          <c:spPr>
            <a:ln w="9525" cap="flat" cmpd="sng" algn="ctr">
              <a:solidFill>
                <a:schemeClr val="tx1"/>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0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0187791791512785"/>
          <c:y val="0.11569052783803332"/>
          <c:w val="0.84755318195844931"/>
          <c:h val="0.75272402229547886"/>
        </c:manualLayout>
      </c:layout>
      <c:lineChart>
        <c:grouping val="standard"/>
        <c:varyColors val="0"/>
        <c:ser>
          <c:idx val="5"/>
          <c:order val="5"/>
          <c:tx>
            <c:strRef>
              <c:f>Sheet1!$F$4</c:f>
              <c:strCache>
                <c:ptCount val="1"/>
                <c:pt idx="0">
                  <c:v>Raporti i Mbulimit</c:v>
                </c:pt>
              </c:strCache>
            </c:strRef>
          </c:tx>
          <c:spPr>
            <a:ln w="28575" cap="rnd">
              <a:solidFill>
                <a:srgbClr val="C00000"/>
              </a:solidFill>
              <a:round/>
            </a:ln>
            <a:effectLst/>
          </c:spPr>
          <c:marker>
            <c:symbol val="circle"/>
            <c:size val="5"/>
            <c:spPr>
              <a:solidFill>
                <a:schemeClr val="tx1"/>
              </a:solidFill>
              <a:ln w="9525">
                <a:noFill/>
              </a:ln>
              <a:effectLst/>
            </c:spPr>
          </c:marker>
          <c:dLbls>
            <c:dLbl>
              <c:idx val="0"/>
              <c:layout>
                <c:manualLayout>
                  <c:x val="-4.2958527389665137E-2"/>
                  <c:y val="-5.10682770988468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958527389665116E-2"/>
                  <c:y val="-7.11788854447493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2958527389665116E-2"/>
                  <c:y val="-8.62618417041761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958527389665116E-2"/>
                  <c:y val="-7.11788854447492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958527389665116E-2"/>
                  <c:y val="-7.11788854447492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2958527389665116E-2"/>
                  <c:y val="-7.62065375312249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Sheet1!$A$5:$A$11</c:f>
              <c:numCache>
                <c:formatCode>General</c:formatCode>
                <c:ptCount val="7"/>
                <c:pt idx="0">
                  <c:v>2009</c:v>
                </c:pt>
                <c:pt idx="1">
                  <c:v>2010</c:v>
                </c:pt>
                <c:pt idx="2">
                  <c:v>2011</c:v>
                </c:pt>
                <c:pt idx="3">
                  <c:v>2012</c:v>
                </c:pt>
                <c:pt idx="4">
                  <c:v>2013</c:v>
                </c:pt>
                <c:pt idx="5">
                  <c:v>2014</c:v>
                </c:pt>
                <c:pt idx="6">
                  <c:v>2015</c:v>
                </c:pt>
              </c:numCache>
            </c:numRef>
          </c:cat>
          <c:val>
            <c:numRef>
              <c:f>Sheet1!$F$5:$F$11</c:f>
              <c:numCache>
                <c:formatCode>0.00%</c:formatCode>
                <c:ptCount val="7"/>
                <c:pt idx="0">
                  <c:v>2.0121462826931547E-2</c:v>
                </c:pt>
                <c:pt idx="1">
                  <c:v>2.3148138879045186E-2</c:v>
                </c:pt>
                <c:pt idx="2">
                  <c:v>2.6883632987567529E-2</c:v>
                </c:pt>
                <c:pt idx="3">
                  <c:v>3.0684101288444645E-2</c:v>
                </c:pt>
                <c:pt idx="4">
                  <c:v>3.6762879780515338E-2</c:v>
                </c:pt>
                <c:pt idx="5">
                  <c:v>4.2141233904652811E-2</c:v>
                </c:pt>
                <c:pt idx="6">
                  <c:v>4.6804969638136351E-2</c:v>
                </c:pt>
              </c:numCache>
            </c:numRef>
          </c:val>
          <c:smooth val="0"/>
        </c:ser>
        <c:dLbls>
          <c:showLegendKey val="0"/>
          <c:showVal val="1"/>
          <c:showCatName val="0"/>
          <c:showSerName val="0"/>
          <c:showPercent val="0"/>
          <c:showBubbleSize val="0"/>
        </c:dLbls>
        <c:marker val="1"/>
        <c:smooth val="0"/>
        <c:axId val="533956400"/>
        <c:axId val="533956792"/>
        <c:extLst>
          <c:ext xmlns:c15="http://schemas.microsoft.com/office/drawing/2012/chart" uri="{02D57815-91ED-43cb-92C2-25804820EDAC}">
            <c15:filteredLineSeries>
              <c15:ser>
                <c:idx val="0"/>
                <c:order val="0"/>
                <c:tx>
                  <c:strRef>
                    <c:extLst>
                      <c:ext uri="{02D57815-91ED-43cb-92C2-25804820EDAC}">
                        <c15:formulaRef>
                          <c15:sqref>Sheet1!$A$4</c15:sqref>
                        </c15:formulaRef>
                      </c:ext>
                    </c:extLst>
                    <c:strCache>
                      <c:ptCount val="1"/>
                      <c:pt idx="0">
                        <c:v>Viti</c:v>
                      </c:pt>
                    </c:strCache>
                  </c:strRef>
                </c:tx>
                <c:spPr>
                  <a:ln w="28575" cap="rnd">
                    <a:solidFill>
                      <a:schemeClr val="accent4">
                        <a:tint val="50000"/>
                      </a:schemeClr>
                    </a:solidFill>
                    <a:round/>
                  </a:ln>
                  <a:effectLst/>
                </c:spPr>
                <c:marker>
                  <c:symbol val="circle"/>
                  <c:size val="5"/>
                  <c:spPr>
                    <a:solidFill>
                      <a:schemeClr val="accent4">
                        <a:tint val="50000"/>
                      </a:schemeClr>
                    </a:solidFill>
                    <a:ln w="9525">
                      <a:solidFill>
                        <a:schemeClr val="accent4">
                          <a:tint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val>
                <c:smooth val="0"/>
              </c15:ser>
            </c15:filteredLineSeries>
            <c15:filteredLineSeries>
              <c15:ser>
                <c:idx val="1"/>
                <c:order val="1"/>
                <c:tx>
                  <c:strRef>
                    <c:extLst xmlns:c15="http://schemas.microsoft.com/office/drawing/2012/chart">
                      <c:ext xmlns:c15="http://schemas.microsoft.com/office/drawing/2012/chart" uri="{02D57815-91ED-43cb-92C2-25804820EDAC}">
                        <c15:formulaRef>
                          <c15:sqref>Sheet1!$B$4</c15:sqref>
                        </c15:formulaRef>
                      </c:ext>
                    </c:extLst>
                    <c:strCache>
                      <c:ptCount val="1"/>
                      <c:pt idx="0">
                        <c:v>Fondi i Sigurimit te Depozitave ne Banka</c:v>
                      </c:pt>
                    </c:strCache>
                  </c:strRef>
                </c:tx>
                <c:spPr>
                  <a:ln w="28575" cap="rnd">
                    <a:solidFill>
                      <a:schemeClr val="accent4">
                        <a:tint val="70000"/>
                      </a:schemeClr>
                    </a:solidFill>
                    <a:round/>
                  </a:ln>
                  <a:effectLst/>
                </c:spPr>
                <c:marker>
                  <c:symbol val="circle"/>
                  <c:size val="5"/>
                  <c:spPr>
                    <a:solidFill>
                      <a:schemeClr val="accent4">
                        <a:tint val="70000"/>
                      </a:schemeClr>
                    </a:solidFill>
                    <a:ln w="9525">
                      <a:solidFill>
                        <a:schemeClr val="accent4">
                          <a:tint val="7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Sheet1!$B$5:$B$11</c15:sqref>
                        </c15:formulaRef>
                      </c:ext>
                    </c:extLst>
                    <c:numCache>
                      <c:formatCode>_(* #,##0.00_);_(* \(#,##0.00\);_(* "-"??_);_(@_)</c:formatCode>
                      <c:ptCount val="7"/>
                      <c:pt idx="0">
                        <c:v>7910033</c:v>
                      </c:pt>
                      <c:pt idx="1">
                        <c:v>10447678</c:v>
                      </c:pt>
                      <c:pt idx="2">
                        <c:v>13371740</c:v>
                      </c:pt>
                      <c:pt idx="3">
                        <c:v>16756721</c:v>
                      </c:pt>
                      <c:pt idx="4">
                        <c:v>20477080</c:v>
                      </c:pt>
                      <c:pt idx="5">
                        <c:v>24045619</c:v>
                      </c:pt>
                      <c:pt idx="6">
                        <c:v>27667346</c:v>
                      </c:pt>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Sheet1!$C$4</c15:sqref>
                        </c15:formulaRef>
                      </c:ext>
                    </c:extLst>
                    <c:strCache>
                      <c:ptCount val="1"/>
                      <c:pt idx="0">
                        <c:v>Primet e Sigurimit nga Bankat</c:v>
                      </c:pt>
                    </c:strCache>
                  </c:strRef>
                </c:tx>
                <c:spPr>
                  <a:ln w="28575" cap="rnd">
                    <a:solidFill>
                      <a:schemeClr val="accent4">
                        <a:tint val="90000"/>
                      </a:schemeClr>
                    </a:solidFill>
                    <a:round/>
                  </a:ln>
                  <a:effectLst/>
                </c:spPr>
                <c:marker>
                  <c:symbol val="circle"/>
                  <c:size val="5"/>
                  <c:spPr>
                    <a:solidFill>
                      <a:schemeClr val="accent4">
                        <a:tint val="90000"/>
                      </a:schemeClr>
                    </a:solidFill>
                    <a:ln w="9525">
                      <a:solidFill>
                        <a:schemeClr val="accent4">
                          <a:tint val="9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Sheet1!$C$5:$C$11</c15:sqref>
                        </c15:formulaRef>
                      </c:ext>
                    </c:extLst>
                    <c:numCache>
                      <c:formatCode>_(* #,##0.00_);_(* \(#,##0.00\);_(* "-"??_);_(@_)</c:formatCode>
                      <c:ptCount val="7"/>
                      <c:pt idx="0">
                        <c:v>1068408</c:v>
                      </c:pt>
                      <c:pt idx="1">
                        <c:v>1941086</c:v>
                      </c:pt>
                      <c:pt idx="2">
                        <c:v>2241387</c:v>
                      </c:pt>
                      <c:pt idx="3">
                        <c:v>2547691</c:v>
                      </c:pt>
                      <c:pt idx="4">
                        <c:v>2775119</c:v>
                      </c:pt>
                      <c:pt idx="5">
                        <c:v>2836807</c:v>
                      </c:pt>
                      <c:pt idx="6">
                        <c:v>2900429</c:v>
                      </c:pt>
                    </c:numCache>
                  </c:numRef>
                </c:val>
                <c:smooth val="0"/>
              </c15:ser>
            </c15:filteredLineSeries>
            <c15:filteredLineSeries>
              <c15:ser>
                <c:idx val="3"/>
                <c:order val="3"/>
                <c:tx>
                  <c:strRef>
                    <c:extLst xmlns:c15="http://schemas.microsoft.com/office/drawing/2012/chart">
                      <c:ext xmlns:c15="http://schemas.microsoft.com/office/drawing/2012/chart" uri="{02D57815-91ED-43cb-92C2-25804820EDAC}">
                        <c15:formulaRef>
                          <c15:sqref>Sheet1!$D$4</c15:sqref>
                        </c15:formulaRef>
                      </c:ext>
                    </c:extLst>
                    <c:strCache>
                      <c:ptCount val="1"/>
                      <c:pt idx="0">
                        <c:v>Te Ardhurat nga Administrimi i Mjeteve Financiare</c:v>
                      </c:pt>
                    </c:strCache>
                  </c:strRef>
                </c:tx>
                <c:spPr>
                  <a:ln w="28575" cap="rnd">
                    <a:solidFill>
                      <a:schemeClr val="accent4">
                        <a:shade val="90000"/>
                      </a:schemeClr>
                    </a:solidFill>
                    <a:round/>
                  </a:ln>
                  <a:effectLst/>
                </c:spPr>
                <c:marker>
                  <c:symbol val="circle"/>
                  <c:size val="5"/>
                  <c:spPr>
                    <a:solidFill>
                      <a:schemeClr val="accent4">
                        <a:shade val="90000"/>
                      </a:schemeClr>
                    </a:solidFill>
                    <a:ln w="9525">
                      <a:solidFill>
                        <a:schemeClr val="accent4">
                          <a:shade val="9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Sheet1!$D$5:$D$11</c15:sqref>
                        </c15:formulaRef>
                      </c:ext>
                    </c:extLst>
                    <c:numCache>
                      <c:formatCode>_(* #,##0.00_);_(* \(#,##0.00\);_(* "-"??_);_(@_)</c:formatCode>
                      <c:ptCount val="7"/>
                      <c:pt idx="0">
                        <c:v>447118</c:v>
                      </c:pt>
                      <c:pt idx="1">
                        <c:v>603631</c:v>
                      </c:pt>
                      <c:pt idx="2">
                        <c:v>715056</c:v>
                      </c:pt>
                      <c:pt idx="3">
                        <c:v>901489</c:v>
                      </c:pt>
                      <c:pt idx="4">
                        <c:v>1029437</c:v>
                      </c:pt>
                      <c:pt idx="5">
                        <c:v>803986</c:v>
                      </c:pt>
                      <c:pt idx="6">
                        <c:v>874149</c:v>
                      </c:pt>
                    </c:numCache>
                  </c:numRef>
                </c:val>
                <c:smooth val="0"/>
              </c15:ser>
            </c15:filteredLineSeries>
            <c15:filteredLineSeries>
              <c15:ser>
                <c:idx val="4"/>
                <c:order val="4"/>
                <c:tx>
                  <c:strRef>
                    <c:extLst xmlns:c15="http://schemas.microsoft.com/office/drawing/2012/chart">
                      <c:ext xmlns:c15="http://schemas.microsoft.com/office/drawing/2012/chart" uri="{02D57815-91ED-43cb-92C2-25804820EDAC}">
                        <c15:formulaRef>
                          <c15:sqref>Sheet1!$E$4</c15:sqref>
                        </c15:formulaRef>
                      </c:ext>
                    </c:extLst>
                    <c:strCache>
                      <c:ptCount val="1"/>
                      <c:pt idx="0">
                        <c:v>Depozitat e Siguruara ne Banka</c:v>
                      </c:pt>
                    </c:strCache>
                  </c:strRef>
                </c:tx>
                <c:spPr>
                  <a:ln w="28575" cap="rnd">
                    <a:solidFill>
                      <a:schemeClr val="accent4">
                        <a:shade val="70000"/>
                      </a:schemeClr>
                    </a:solidFill>
                    <a:round/>
                  </a:ln>
                  <a:effectLst/>
                </c:spPr>
                <c:marker>
                  <c:symbol val="circle"/>
                  <c:size val="5"/>
                  <c:spPr>
                    <a:solidFill>
                      <a:schemeClr val="accent4">
                        <a:shade val="70000"/>
                      </a:schemeClr>
                    </a:solidFill>
                    <a:ln w="9525">
                      <a:solidFill>
                        <a:schemeClr val="accent4">
                          <a:shade val="7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cat>
                <c:val>
                  <c:numRef>
                    <c:extLst xmlns:c15="http://schemas.microsoft.com/office/drawing/2012/chart">
                      <c:ext xmlns:c15="http://schemas.microsoft.com/office/drawing/2012/chart" uri="{02D57815-91ED-43cb-92C2-25804820EDAC}">
                        <c15:formulaRef>
                          <c15:sqref>Sheet1!$E$5:$E$11</c15:sqref>
                        </c15:formulaRef>
                      </c:ext>
                    </c:extLst>
                    <c:numCache>
                      <c:formatCode>_(* #,##0.00_);_(* \(#,##0.00\);_(* "-"??_);_(@_)</c:formatCode>
                      <c:ptCount val="7"/>
                      <c:pt idx="0">
                        <c:v>393114211.82623088</c:v>
                      </c:pt>
                      <c:pt idx="1">
                        <c:v>451339870.32787973</c:v>
                      </c:pt>
                      <c:pt idx="2">
                        <c:v>497393339.88765007</c:v>
                      </c:pt>
                      <c:pt idx="3">
                        <c:v>546104343.82545996</c:v>
                      </c:pt>
                      <c:pt idx="4">
                        <c:v>557004242.38399994</c:v>
                      </c:pt>
                      <c:pt idx="5">
                        <c:v>570595988.1099999</c:v>
                      </c:pt>
                      <c:pt idx="6">
                        <c:v>591119836.50250816</c:v>
                      </c:pt>
                    </c:numCache>
                  </c:numRef>
                </c:val>
                <c:smooth val="0"/>
              </c15:ser>
            </c15:filteredLineSeries>
          </c:ext>
        </c:extLst>
      </c:lineChart>
      <c:catAx>
        <c:axId val="5339564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6792"/>
        <c:crosses val="autoZero"/>
        <c:auto val="1"/>
        <c:lblAlgn val="ctr"/>
        <c:lblOffset val="100"/>
        <c:noMultiLvlLbl val="0"/>
      </c:catAx>
      <c:valAx>
        <c:axId val="533956792"/>
        <c:scaling>
          <c:orientation val="minMax"/>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3956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Sheet1!$C$6</c:f>
              <c:strCache>
                <c:ptCount val="1"/>
                <c:pt idx="0">
                  <c:v>fitim</c:v>
                </c:pt>
              </c:strCache>
            </c:strRef>
          </c:tx>
          <c:spPr>
            <a:ln w="34925" cap="rnd" cmpd="sng" algn="ctr">
              <a:solidFill>
                <a:srgbClr val="C00000"/>
              </a:solidFill>
              <a:round/>
            </a:ln>
            <a:effectLst/>
          </c:spPr>
          <c:marker>
            <c:symbol val="none"/>
          </c:marker>
          <c:cat>
            <c:numRef>
              <c:f>Sheet1!$D$2:$I$2</c:f>
              <c:numCache>
                <c:formatCode>General</c:formatCode>
                <c:ptCount val="6"/>
                <c:pt idx="0">
                  <c:v>2010</c:v>
                </c:pt>
                <c:pt idx="1">
                  <c:v>2011</c:v>
                </c:pt>
                <c:pt idx="2">
                  <c:v>2012</c:v>
                </c:pt>
                <c:pt idx="3">
                  <c:v>2013</c:v>
                </c:pt>
                <c:pt idx="4">
                  <c:v>2014</c:v>
                </c:pt>
                <c:pt idx="5">
                  <c:v>2015</c:v>
                </c:pt>
              </c:numCache>
            </c:numRef>
          </c:cat>
          <c:val>
            <c:numRef>
              <c:f>Sheet1!$D$6:$I$6</c:f>
              <c:numCache>
                <c:formatCode>_(* #,##0_);_(* \(#,##0\);_(* "-"??_);_(@_)</c:formatCode>
                <c:ptCount val="6"/>
                <c:pt idx="0">
                  <c:v>6715.12853</c:v>
                </c:pt>
                <c:pt idx="1">
                  <c:v>706.26679999999999</c:v>
                </c:pt>
                <c:pt idx="2">
                  <c:v>3768.5659329999999</c:v>
                </c:pt>
                <c:pt idx="3">
                  <c:v>6564.0173169999998</c:v>
                </c:pt>
                <c:pt idx="4">
                  <c:v>11192.277264</c:v>
                </c:pt>
                <c:pt idx="5">
                  <c:v>15699.046979999999</c:v>
                </c:pt>
              </c:numCache>
            </c:numRef>
          </c:val>
          <c:smooth val="0"/>
        </c:ser>
        <c:dLbls>
          <c:showLegendKey val="0"/>
          <c:showVal val="0"/>
          <c:showCatName val="0"/>
          <c:showSerName val="0"/>
          <c:showPercent val="0"/>
          <c:showBubbleSize val="0"/>
        </c:dLbls>
        <c:dropLines>
          <c:spPr>
            <a:ln w="12700" cap="flat" cmpd="sng" algn="ctr">
              <a:solidFill>
                <a:schemeClr val="tx1"/>
              </a:solidFill>
              <a:round/>
            </a:ln>
            <a:effectLst/>
          </c:spPr>
        </c:dropLines>
        <c:smooth val="0"/>
        <c:axId val="535099880"/>
        <c:axId val="535097136"/>
      </c:lineChart>
      <c:catAx>
        <c:axId val="5350998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Perpetua" panose="02020502060401020303" pitchFamily="18" charset="0"/>
                <a:ea typeface="+mn-ea"/>
                <a:cs typeface="+mn-cs"/>
              </a:defRPr>
            </a:pPr>
            <a:endParaRPr lang="en-US"/>
          </a:p>
        </c:txPr>
        <c:crossAx val="535097136"/>
        <c:crosses val="autoZero"/>
        <c:auto val="1"/>
        <c:lblAlgn val="ctr"/>
        <c:lblOffset val="100"/>
        <c:noMultiLvlLbl val="0"/>
      </c:catAx>
      <c:valAx>
        <c:axId val="53509713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Perpetua" panose="02020502060401020303" pitchFamily="18" charset="0"/>
                <a:ea typeface="+mn-ea"/>
                <a:cs typeface="+mn-cs"/>
              </a:defRPr>
            </a:pPr>
            <a:endParaRPr lang="en-US"/>
          </a:p>
        </c:txPr>
        <c:crossAx val="53509988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1706301892894"/>
          <c:y val="7.0031445655058519E-2"/>
          <c:w val="0.49930009709585743"/>
          <c:h val="0.8561713395315329"/>
        </c:manualLayout>
      </c:layout>
      <c:doughnutChart>
        <c:varyColors val="1"/>
        <c:ser>
          <c:idx val="0"/>
          <c:order val="0"/>
          <c:tx>
            <c:strRef>
              <c:f>Sheet2!$E$4</c:f>
              <c:strCache>
                <c:ptCount val="1"/>
                <c:pt idx="0">
                  <c:v>Total</c:v>
                </c:pt>
              </c:strCache>
            </c:strRef>
          </c:tx>
          <c:dPt>
            <c:idx val="0"/>
            <c:bubble3D val="0"/>
            <c:spPr>
              <a:solidFill>
                <a:schemeClr val="bg1">
                  <a:lumMod val="50000"/>
                </a:schemeClr>
              </a:solidFill>
              <a:ln w="19050">
                <a:solidFill>
                  <a:schemeClr val="lt1"/>
                </a:solidFill>
              </a:ln>
              <a:effectLst/>
            </c:spPr>
          </c:dPt>
          <c:dPt>
            <c:idx val="1"/>
            <c:bubble3D val="0"/>
            <c:spPr>
              <a:solidFill>
                <a:schemeClr val="bg2">
                  <a:lumMod val="75000"/>
                </a:schemeClr>
              </a:solidFill>
              <a:ln w="19050">
                <a:solidFill>
                  <a:schemeClr val="lt1"/>
                </a:solidFill>
              </a:ln>
              <a:effectLst/>
            </c:spPr>
          </c:dPt>
          <c:dPt>
            <c:idx val="2"/>
            <c:bubble3D val="0"/>
            <c:spPr>
              <a:solidFill>
                <a:srgbClr val="C00000"/>
              </a:solidFill>
              <a:ln w="19050">
                <a:noFill/>
              </a:ln>
              <a:effectLst/>
            </c:spPr>
          </c:dPt>
          <c:dPt>
            <c:idx val="3"/>
            <c:bubble3D val="0"/>
            <c:spPr>
              <a:solidFill>
                <a:schemeClr val="tx1">
                  <a:lumMod val="85000"/>
                  <a:lumOff val="15000"/>
                </a:schemeClr>
              </a:solidFill>
              <a:ln w="19050">
                <a:solidFill>
                  <a:schemeClr val="lt1"/>
                </a:solidFill>
              </a:ln>
              <a:effectLst/>
            </c:spPr>
          </c:dPt>
          <c:dLbls>
            <c:dLbl>
              <c:idx val="0"/>
              <c:layout>
                <c:manualLayout>
                  <c:x val="8.7844515208081696E-3"/>
                  <c:y val="-7.154961400866126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0.12029320700784812"/>
                  <c:y val="-9.2618054639234879E-2"/>
                </c:manualLayout>
              </c:layout>
              <c:showLegendKey val="0"/>
              <c:showVal val="0"/>
              <c:showCatName val="0"/>
              <c:showSerName val="0"/>
              <c:showPercent val="1"/>
              <c:showBubbleSize val="0"/>
              <c:extLst>
                <c:ext xmlns:c15="http://schemas.microsoft.com/office/drawing/2012/chart" uri="{CE6537A1-D6FC-4f65-9D91-7224C49458BB}"/>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0"/>
              <c:showSerName val="0"/>
              <c:showPercent val="1"/>
              <c:showBubbleSize val="0"/>
            </c:dLbl>
            <c:dLbl>
              <c:idx val="3"/>
              <c:layout>
                <c:manualLayout>
                  <c:x val="-0.12922498830613138"/>
                  <c:y val="-0.10706378234447304"/>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Perpetua" panose="02020502060401020303" pitchFamily="18"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Sheet2!$A$5:$A$8</c:f>
              <c:strCache>
                <c:ptCount val="4"/>
                <c:pt idx="0">
                  <c:v>Depozita në Bankën e Shqipërisë</c:v>
                </c:pt>
                <c:pt idx="1">
                  <c:v>Llogari rrjedhëse në Banka</c:v>
                </c:pt>
                <c:pt idx="2">
                  <c:v>Letra me vlerë të Qeverisë Shqiptare</c:v>
                </c:pt>
                <c:pt idx="3">
                  <c:v>Letra me Vlerë të SHBA</c:v>
                </c:pt>
              </c:strCache>
            </c:strRef>
          </c:cat>
          <c:val>
            <c:numRef>
              <c:f>Sheet2!$E$5:$E$8</c:f>
              <c:numCache>
                <c:formatCode>_(* #,##0_);_(* \(#,##0\);_(* "-"??_);_(@_)</c:formatCode>
                <c:ptCount val="4"/>
                <c:pt idx="0">
                  <c:v>1602670000</c:v>
                </c:pt>
                <c:pt idx="1">
                  <c:v>150267470.01329988</c:v>
                </c:pt>
                <c:pt idx="2">
                  <c:v>25420589324.2556</c:v>
                </c:pt>
                <c:pt idx="3">
                  <c:v>470277865.71669978</c:v>
                </c:pt>
              </c:numCache>
            </c:numRef>
          </c:val>
        </c:ser>
        <c:dLbls>
          <c:showLegendKey val="0"/>
          <c:showVal val="0"/>
          <c:showCatName val="0"/>
          <c:showSerName val="0"/>
          <c:showPercent val="1"/>
          <c:showBubbleSize val="0"/>
          <c:showLeaderLines val="1"/>
        </c:dLbls>
        <c:firstSliceAng val="0"/>
        <c:holeSize val="47"/>
      </c:doughnutChart>
      <c:spPr>
        <a:noFill/>
        <a:ln>
          <a:noFill/>
        </a:ln>
        <a:effectLst/>
      </c:spPr>
    </c:plotArea>
    <c:legend>
      <c:legendPos val="r"/>
      <c:layout>
        <c:manualLayout>
          <c:xMode val="edge"/>
          <c:yMode val="edge"/>
          <c:x val="0.67154486165785821"/>
          <c:y val="0.24807434280656557"/>
          <c:w val="0.31650375548462722"/>
          <c:h val="0.5036604700478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11111111111112E-2"/>
          <c:y val="0"/>
          <c:w val="0.75277777777777821"/>
          <c:h val="1"/>
        </c:manualLayout>
      </c:layout>
      <c:doughnutChart>
        <c:varyColors val="1"/>
        <c:ser>
          <c:idx val="0"/>
          <c:order val="0"/>
          <c:tx>
            <c:strRef>
              <c:f>Sheet2!$A$9</c:f>
              <c:strCache>
                <c:ptCount val="1"/>
                <c:pt idx="0">
                  <c:v>Total</c:v>
                </c:pt>
              </c:strCache>
            </c:strRef>
          </c:tx>
          <c:dPt>
            <c:idx val="0"/>
            <c:bubble3D val="0"/>
            <c:spPr>
              <a:solidFill>
                <a:srgbClr val="C00000"/>
              </a:solidFill>
              <a:ln w="19050">
                <a:solidFill>
                  <a:schemeClr val="lt1"/>
                </a:solidFill>
              </a:ln>
              <a:effectLst/>
            </c:spPr>
          </c:dPt>
          <c:dPt>
            <c:idx val="1"/>
            <c:bubble3D val="0"/>
            <c:spPr>
              <a:solidFill>
                <a:schemeClr val="tx1">
                  <a:lumMod val="75000"/>
                  <a:lumOff val="25000"/>
                </a:schemeClr>
              </a:solidFill>
              <a:ln w="19050">
                <a:solidFill>
                  <a:schemeClr val="lt1"/>
                </a:solidFill>
              </a:ln>
              <a:effectLst/>
            </c:spPr>
          </c:dPt>
          <c:dPt>
            <c:idx val="2"/>
            <c:bubble3D val="0"/>
            <c:spPr>
              <a:solidFill>
                <a:schemeClr val="bg1">
                  <a:lumMod val="50000"/>
                </a:schemeClr>
              </a:solidFill>
              <a:ln w="19050">
                <a:solidFill>
                  <a:schemeClr val="lt1"/>
                </a:solidFill>
              </a:ln>
              <a:effectLst/>
            </c:spPr>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0"/>
              <c:showSerName val="0"/>
              <c:showPercent val="1"/>
              <c:showBubbleSize val="0"/>
            </c:dLbl>
            <c:dLbl>
              <c:idx val="1"/>
              <c:layout>
                <c:manualLayout>
                  <c:x val="-0.15573196935048572"/>
                  <c:y val="-6.462248788244544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Perpetua" panose="02020502060401020303" pitchFamily="18" charset="0"/>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6.7240463240298923E-3"/>
                  <c:y val="-4.2167174358679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Perpetua" panose="02020502060401020303" pitchFamily="18"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Sheet2!$B$4:$D$4</c:f>
              <c:strCache>
                <c:ptCount val="3"/>
                <c:pt idx="0">
                  <c:v>LEK</c:v>
                </c:pt>
                <c:pt idx="1">
                  <c:v>USD</c:v>
                </c:pt>
                <c:pt idx="2">
                  <c:v>EUR</c:v>
                </c:pt>
              </c:strCache>
            </c:strRef>
          </c:cat>
          <c:val>
            <c:numRef>
              <c:f>Sheet2!$B$9:$D$9</c:f>
              <c:numCache>
                <c:formatCode>_(* #,##0_);_(* \(#,##0\);_(* "-"??_);_(@_)</c:formatCode>
                <c:ptCount val="3"/>
                <c:pt idx="0">
                  <c:v>25428655116.709999</c:v>
                </c:pt>
                <c:pt idx="1">
                  <c:v>618871814.04610002</c:v>
                </c:pt>
                <c:pt idx="2">
                  <c:v>1596277729.2294998</c:v>
                </c:pt>
              </c:numCache>
            </c:numRef>
          </c:val>
        </c:ser>
        <c:dLbls>
          <c:showLegendKey val="0"/>
          <c:showVal val="0"/>
          <c:showCatName val="0"/>
          <c:showSerName val="0"/>
          <c:showPercent val="1"/>
          <c:showBubbleSize val="0"/>
          <c:showLeaderLines val="1"/>
        </c:dLbls>
        <c:firstSliceAng val="0"/>
        <c:holeSize val="47"/>
      </c:doughnutChart>
      <c:spPr>
        <a:noFill/>
        <a:ln>
          <a:noFill/>
        </a:ln>
        <a:effectLst/>
      </c:spPr>
    </c:plotArea>
    <c:legend>
      <c:legendPos val="r"/>
      <c:layout>
        <c:manualLayout>
          <c:xMode val="edge"/>
          <c:yMode val="edge"/>
          <c:x val="0.79206717140269756"/>
          <c:y val="0.34476042684445496"/>
          <c:w val="0.1022891513560806"/>
          <c:h val="0.2567202537182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lgn="just">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06313161679488"/>
          <c:y val="2.5462962962962979E-2"/>
          <c:w val="0.58472222222222181"/>
          <c:h val="0.97453703703703709"/>
        </c:manualLayout>
      </c:layout>
      <c:doughnutChart>
        <c:varyColors val="1"/>
        <c:ser>
          <c:idx val="5"/>
          <c:order val="5"/>
          <c:tx>
            <c:strRef>
              <c:f>Sheet2!$G$37</c:f>
              <c:strCache>
                <c:ptCount val="1"/>
                <c:pt idx="0">
                  <c:v>TOTAL</c:v>
                </c:pt>
              </c:strCache>
            </c:strRef>
          </c:tx>
          <c:dPt>
            <c:idx val="0"/>
            <c:bubble3D val="0"/>
            <c:spPr>
              <a:solidFill>
                <a:srgbClr val="C00000"/>
              </a:solidFill>
              <a:ln w="19050">
                <a:solidFill>
                  <a:schemeClr val="lt1"/>
                </a:solidFill>
              </a:ln>
              <a:effectLst/>
            </c:spPr>
          </c:dPt>
          <c:dPt>
            <c:idx val="1"/>
            <c:bubble3D val="0"/>
            <c:spPr>
              <a:solidFill>
                <a:schemeClr val="tx1">
                  <a:lumMod val="75000"/>
                  <a:lumOff val="25000"/>
                </a:schemeClr>
              </a:solidFill>
              <a:ln w="19050">
                <a:solidFill>
                  <a:schemeClr val="lt1"/>
                </a:solidFill>
              </a:ln>
              <a:effectLst/>
            </c:spPr>
          </c:dPt>
          <c:dPt>
            <c:idx val="2"/>
            <c:bubble3D val="0"/>
            <c:spPr>
              <a:solidFill>
                <a:schemeClr val="bg1">
                  <a:lumMod val="50000"/>
                </a:schemeClr>
              </a:solidFill>
              <a:ln w="19050">
                <a:solidFill>
                  <a:schemeClr val="lt1"/>
                </a:solidFill>
              </a:ln>
              <a:effectLst/>
            </c:spPr>
          </c:dPt>
          <c:dPt>
            <c:idx val="3"/>
            <c:bubble3D val="0"/>
            <c:spPr>
              <a:solidFill>
                <a:schemeClr val="bg2">
                  <a:lumMod val="75000"/>
                </a:schemeClr>
              </a:solidFill>
              <a:ln w="19050">
                <a:solidFill>
                  <a:schemeClr val="lt1"/>
                </a:solidFill>
              </a:ln>
              <a:effectLst/>
            </c:spPr>
          </c:dPt>
          <c:dPt>
            <c:idx val="4"/>
            <c:bubble3D val="0"/>
            <c:spPr>
              <a:solidFill>
                <a:schemeClr val="bg2">
                  <a:lumMod val="90000"/>
                </a:schemeClr>
              </a:solidFill>
              <a:ln w="19050">
                <a:solidFill>
                  <a:schemeClr val="lt1"/>
                </a:solidFill>
              </a:ln>
              <a:effectLst/>
            </c:spPr>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0"/>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Sheet2!$A$38:$A$42</c:f>
              <c:strCache>
                <c:ptCount val="5"/>
                <c:pt idx="0">
                  <c:v>Deri në 3 muaj</c:v>
                </c:pt>
                <c:pt idx="1">
                  <c:v>Nga 3 në 6 muaj</c:v>
                </c:pt>
                <c:pt idx="2">
                  <c:v>Nga 6 në 9 muaj</c:v>
                </c:pt>
                <c:pt idx="3">
                  <c:v>Nga 9 në 12 muaj</c:v>
                </c:pt>
                <c:pt idx="4">
                  <c:v>Nga 12 në 24 muaj</c:v>
                </c:pt>
              </c:strCache>
            </c:strRef>
          </c:cat>
          <c:val>
            <c:numRef>
              <c:f>Sheet2!$G$38:$G$42</c:f>
              <c:numCache>
                <c:formatCode>_(* #,##0.00_);_(* \(#,##0.00\);_(* "-"??_);_(@_)</c:formatCode>
                <c:ptCount val="5"/>
                <c:pt idx="0">
                  <c:v>7542784490.0132999</c:v>
                </c:pt>
                <c:pt idx="1">
                  <c:v>5350810000</c:v>
                </c:pt>
                <c:pt idx="2">
                  <c:v>5790333560</c:v>
                </c:pt>
                <c:pt idx="3">
                  <c:v>5089390000</c:v>
                </c:pt>
                <c:pt idx="4">
                  <c:v>4071059731.1999998</c:v>
                </c:pt>
              </c:numCache>
            </c:numRef>
          </c:val>
        </c:ser>
        <c:dLbls>
          <c:showLegendKey val="0"/>
          <c:showVal val="0"/>
          <c:showCatName val="0"/>
          <c:showSerName val="0"/>
          <c:showPercent val="1"/>
          <c:showBubbleSize val="0"/>
          <c:showLeaderLines val="1"/>
        </c:dLbls>
        <c:firstSliceAng val="0"/>
        <c:holeSize val="47"/>
        <c:extLst>
          <c:ext xmlns:c15="http://schemas.microsoft.com/office/drawing/2012/chart" uri="{02D57815-91ED-43cb-92C2-25804820EDAC}">
            <c15:filteredPieSeries>
              <c15:ser>
                <c:idx val="0"/>
                <c:order val="0"/>
                <c:tx>
                  <c:strRef>
                    <c:extLst>
                      <c:ext uri="{02D57815-91ED-43cb-92C2-25804820EDAC}">
                        <c15:formulaRef>
                          <c15:sqref>Sheet2!$B$37</c15:sqref>
                        </c15:formulaRef>
                      </c:ext>
                    </c:extLst>
                    <c:strCache>
                      <c:ptCount val="1"/>
                      <c:pt idx="0">
                        <c:v>Depozita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Sheet2!$A$38:$A$42</c15:sqref>
                        </c15:formulaRef>
                      </c:ext>
                    </c:extLst>
                    <c:strCache>
                      <c:ptCount val="5"/>
                      <c:pt idx="0">
                        <c:v>Deri në 3 muaj</c:v>
                      </c:pt>
                      <c:pt idx="1">
                        <c:v>Nga 3 në 6 muaj</c:v>
                      </c:pt>
                      <c:pt idx="2">
                        <c:v>Nga 6 në 9 muaj</c:v>
                      </c:pt>
                      <c:pt idx="3">
                        <c:v>Nga 9 në 12 muaj</c:v>
                      </c:pt>
                      <c:pt idx="4">
                        <c:v>Nga 12 në 24 muaj</c:v>
                      </c:pt>
                    </c:strCache>
                  </c:strRef>
                </c:cat>
                <c:val>
                  <c:numRef>
                    <c:extLst>
                      <c:ext uri="{02D57815-91ED-43cb-92C2-25804820EDAC}">
                        <c15:formulaRef>
                          <c15:sqref>Sheet2!$B$38:$B$42</c15:sqref>
                        </c15:formulaRef>
                      </c:ext>
                    </c:extLst>
                    <c:numCache>
                      <c:formatCode>_(* #,##0.00_);_(* \(#,##0.00\);_(* "-"??_);_(@_)</c:formatCode>
                      <c:ptCount val="5"/>
                      <c:pt idx="0">
                        <c:v>1602670000</c:v>
                      </c:pt>
                      <c:pt idx="1">
                        <c:v>0</c:v>
                      </c:pt>
                      <c:pt idx="2">
                        <c:v>0</c:v>
                      </c:pt>
                      <c:pt idx="3">
                        <c:v>0</c:v>
                      </c:pt>
                      <c:pt idx="4">
                        <c:v>0</c:v>
                      </c:pt>
                    </c:numCache>
                  </c:numRef>
                </c:val>
              </c15:ser>
            </c15:filteredPieSeries>
            <c15:filteredPieSeries>
              <c15:ser>
                <c:idx val="1"/>
                <c:order val="1"/>
                <c:tx>
                  <c:strRef>
                    <c:extLst xmlns:c15="http://schemas.microsoft.com/office/drawing/2012/chart">
                      <c:ext xmlns:c15="http://schemas.microsoft.com/office/drawing/2012/chart" uri="{02D57815-91ED-43cb-92C2-25804820EDAC}">
                        <c15:formulaRef>
                          <c15:sqref>Sheet2!$C$37</c15:sqref>
                        </c15:formulaRef>
                      </c:ext>
                    </c:extLst>
                    <c:strCache>
                      <c:ptCount val="1"/>
                      <c:pt idx="0">
                        <c:v>Llogari Rrjedhese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Sheet2!$A$38:$A$42</c15:sqref>
                        </c15:formulaRef>
                      </c:ext>
                    </c:extLst>
                    <c:strCache>
                      <c:ptCount val="5"/>
                      <c:pt idx="0">
                        <c:v>Deri në 3 muaj</c:v>
                      </c:pt>
                      <c:pt idx="1">
                        <c:v>Nga 3 në 6 muaj</c:v>
                      </c:pt>
                      <c:pt idx="2">
                        <c:v>Nga 6 në 9 muaj</c:v>
                      </c:pt>
                      <c:pt idx="3">
                        <c:v>Nga 9 në 12 muaj</c:v>
                      </c:pt>
                      <c:pt idx="4">
                        <c:v>Nga 12 në 24 muaj</c:v>
                      </c:pt>
                    </c:strCache>
                  </c:strRef>
                </c:cat>
                <c:val>
                  <c:numRef>
                    <c:extLst xmlns:c15="http://schemas.microsoft.com/office/drawing/2012/chart">
                      <c:ext xmlns:c15="http://schemas.microsoft.com/office/drawing/2012/chart" uri="{02D57815-91ED-43cb-92C2-25804820EDAC}">
                        <c15:formulaRef>
                          <c15:sqref>Sheet2!$C$38:$C$42</c15:sqref>
                        </c15:formulaRef>
                      </c:ext>
                    </c:extLst>
                    <c:numCache>
                      <c:formatCode>_(* #,##0.00_);_(* \(#,##0.00\);_(* "-"??_);_(@_)</c:formatCode>
                      <c:ptCount val="5"/>
                      <c:pt idx="0">
                        <c:v>150267470.0133</c:v>
                      </c:pt>
                      <c:pt idx="1">
                        <c:v>0</c:v>
                      </c:pt>
                      <c:pt idx="2">
                        <c:v>0</c:v>
                      </c:pt>
                      <c:pt idx="3">
                        <c:v>0</c:v>
                      </c:pt>
                      <c:pt idx="4">
                        <c:v>0</c:v>
                      </c:pt>
                    </c:numCache>
                  </c:numRef>
                </c:val>
              </c15:ser>
            </c15:filteredPieSeries>
            <c15:filteredPieSeries>
              <c15:ser>
                <c:idx val="2"/>
                <c:order val="2"/>
                <c:tx>
                  <c:strRef>
                    <c:extLst xmlns:c15="http://schemas.microsoft.com/office/drawing/2012/chart">
                      <c:ext xmlns:c15="http://schemas.microsoft.com/office/drawing/2012/chart" uri="{02D57815-91ED-43cb-92C2-25804820EDAC}">
                        <c15:formulaRef>
                          <c15:sqref>Sheet2!$D$37</c15:sqref>
                        </c15:formulaRef>
                      </c:ext>
                    </c:extLst>
                    <c:strCache>
                      <c:ptCount val="1"/>
                      <c:pt idx="0">
                        <c:v>LVL LEK</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Sheet2!$A$38:$A$42</c15:sqref>
                        </c15:formulaRef>
                      </c:ext>
                    </c:extLst>
                    <c:strCache>
                      <c:ptCount val="5"/>
                      <c:pt idx="0">
                        <c:v>Deri në 3 muaj</c:v>
                      </c:pt>
                      <c:pt idx="1">
                        <c:v>Nga 3 në 6 muaj</c:v>
                      </c:pt>
                      <c:pt idx="2">
                        <c:v>Nga 6 në 9 muaj</c:v>
                      </c:pt>
                      <c:pt idx="3">
                        <c:v>Nga 9 në 12 muaj</c:v>
                      </c:pt>
                      <c:pt idx="4">
                        <c:v>Nga 12 në 24 muaj</c:v>
                      </c:pt>
                    </c:strCache>
                  </c:strRef>
                </c:cat>
                <c:val>
                  <c:numRef>
                    <c:extLst xmlns:c15="http://schemas.microsoft.com/office/drawing/2012/chart">
                      <c:ext xmlns:c15="http://schemas.microsoft.com/office/drawing/2012/chart" uri="{02D57815-91ED-43cb-92C2-25804820EDAC}">
                        <c15:formulaRef>
                          <c15:sqref>Sheet2!$D$38:$D$42</c15:sqref>
                        </c15:formulaRef>
                      </c:ext>
                    </c:extLst>
                    <c:numCache>
                      <c:formatCode>_(* #,##0.00_);_(* \(#,##0.00\);_(* "-"??_);_(@_)</c:formatCode>
                      <c:ptCount val="5"/>
                      <c:pt idx="0">
                        <c:v>5621540000</c:v>
                      </c:pt>
                      <c:pt idx="1">
                        <c:v>5350810000</c:v>
                      </c:pt>
                      <c:pt idx="2">
                        <c:v>4453070000</c:v>
                      </c:pt>
                      <c:pt idx="3">
                        <c:v>5089390000</c:v>
                      </c:pt>
                      <c:pt idx="4">
                        <c:v>3527700000</c:v>
                      </c:pt>
                    </c:numCache>
                  </c:numRef>
                </c:val>
              </c15:ser>
            </c15:filteredPieSeries>
            <c15:filteredPieSeries>
              <c15:ser>
                <c:idx val="3"/>
                <c:order val="3"/>
                <c:tx>
                  <c:strRef>
                    <c:extLst xmlns:c15="http://schemas.microsoft.com/office/drawing/2012/chart">
                      <c:ext xmlns:c15="http://schemas.microsoft.com/office/drawing/2012/chart" uri="{02D57815-91ED-43cb-92C2-25804820EDAC}">
                        <c15:formulaRef>
                          <c15:sqref>Sheet2!$E$37</c15:sqref>
                        </c15:formulaRef>
                      </c:ext>
                    </c:extLst>
                    <c:strCache>
                      <c:ptCount val="1"/>
                      <c:pt idx="0">
                        <c:v>LVL EUR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Sheet2!$A$38:$A$42</c15:sqref>
                        </c15:formulaRef>
                      </c:ext>
                    </c:extLst>
                    <c:strCache>
                      <c:ptCount val="5"/>
                      <c:pt idx="0">
                        <c:v>Deri në 3 muaj</c:v>
                      </c:pt>
                      <c:pt idx="1">
                        <c:v>Nga 3 në 6 muaj</c:v>
                      </c:pt>
                      <c:pt idx="2">
                        <c:v>Nga 6 në 9 muaj</c:v>
                      </c:pt>
                      <c:pt idx="3">
                        <c:v>Nga 9 në 12 muaj</c:v>
                      </c:pt>
                      <c:pt idx="4">
                        <c:v>Nga 12 në 24 muaj</c:v>
                      </c:pt>
                    </c:strCache>
                  </c:strRef>
                </c:cat>
                <c:val>
                  <c:numRef>
                    <c:extLst xmlns:c15="http://schemas.microsoft.com/office/drawing/2012/chart">
                      <c:ext xmlns:c15="http://schemas.microsoft.com/office/drawing/2012/chart" uri="{02D57815-91ED-43cb-92C2-25804820EDAC}">
                        <c15:formulaRef>
                          <c15:sqref>Sheet2!$E$38:$E$42</c15:sqref>
                        </c15:formulaRef>
                      </c:ext>
                    </c:extLst>
                    <c:numCache>
                      <c:formatCode>_(* #,##0.00_);_(* \(#,##0.00\);_(* "-"??_);_(@_)</c:formatCode>
                      <c:ptCount val="5"/>
                      <c:pt idx="0">
                        <c:v>0</c:v>
                      </c:pt>
                      <c:pt idx="1">
                        <c:v>0</c:v>
                      </c:pt>
                      <c:pt idx="2">
                        <c:v>1039896000</c:v>
                      </c:pt>
                      <c:pt idx="3">
                        <c:v>0</c:v>
                      </c:pt>
                      <c:pt idx="4">
                        <c:v>543359731.20000005</c:v>
                      </c:pt>
                    </c:numCache>
                  </c:numRef>
                </c:val>
              </c15:ser>
            </c15:filteredPieSeries>
            <c15:filteredPieSeries>
              <c15:ser>
                <c:idx val="4"/>
                <c:order val="4"/>
                <c:tx>
                  <c:strRef>
                    <c:extLst xmlns:c15="http://schemas.microsoft.com/office/drawing/2012/chart">
                      <c:ext xmlns:c15="http://schemas.microsoft.com/office/drawing/2012/chart" uri="{02D57815-91ED-43cb-92C2-25804820EDAC}">
                        <c15:formulaRef>
                          <c15:sqref>Sheet2!$F$37</c15:sqref>
                        </c15:formulaRef>
                      </c:ext>
                    </c:extLst>
                    <c:strCache>
                      <c:ptCount val="1"/>
                      <c:pt idx="0">
                        <c:v>LVL USD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Sheet2!$A$38:$A$42</c15:sqref>
                        </c15:formulaRef>
                      </c:ext>
                    </c:extLst>
                    <c:strCache>
                      <c:ptCount val="5"/>
                      <c:pt idx="0">
                        <c:v>Deri në 3 muaj</c:v>
                      </c:pt>
                      <c:pt idx="1">
                        <c:v>Nga 3 në 6 muaj</c:v>
                      </c:pt>
                      <c:pt idx="2">
                        <c:v>Nga 6 në 9 muaj</c:v>
                      </c:pt>
                      <c:pt idx="3">
                        <c:v>Nga 9 në 12 muaj</c:v>
                      </c:pt>
                      <c:pt idx="4">
                        <c:v>Nga 12 në 24 muaj</c:v>
                      </c:pt>
                    </c:strCache>
                  </c:strRef>
                </c:cat>
                <c:val>
                  <c:numRef>
                    <c:extLst xmlns:c15="http://schemas.microsoft.com/office/drawing/2012/chart">
                      <c:ext xmlns:c15="http://schemas.microsoft.com/office/drawing/2012/chart" uri="{02D57815-91ED-43cb-92C2-25804820EDAC}">
                        <c15:formulaRef>
                          <c15:sqref>Sheet2!$F$38:$F$42</c15:sqref>
                        </c15:formulaRef>
                      </c:ext>
                    </c:extLst>
                    <c:numCache>
                      <c:formatCode>General</c:formatCode>
                      <c:ptCount val="5"/>
                      <c:pt idx="0" formatCode="_(* #,##0.00_);_(* \(#,##0.00\);_(* &quot;-&quot;??_);_(@_)">
                        <c:v>168307020</c:v>
                      </c:pt>
                      <c:pt idx="2" formatCode="_(* #,##0.00_);_(* \(#,##0.00\);_(* &quot;-&quot;??_);_(@_)">
                        <c:v>297367560</c:v>
                      </c:pt>
                      <c:pt idx="4" formatCode="_(* #,##0.00_);_(* \(#,##0.00\);_(* &quot;-&quot;??_);_(@_)">
                        <c:v>0</c:v>
                      </c:pt>
                    </c:numCache>
                  </c:numRef>
                </c:val>
              </c15:ser>
            </c15:filteredPieSeries>
          </c:ext>
        </c:extLst>
      </c:doughnutChart>
      <c:spPr>
        <a:noFill/>
        <a:ln>
          <a:noFill/>
        </a:ln>
        <a:effectLst/>
      </c:spPr>
    </c:plotArea>
    <c:legend>
      <c:legendPos val="r"/>
      <c:layout>
        <c:manualLayout>
          <c:xMode val="edge"/>
          <c:yMode val="edge"/>
          <c:x val="0.75035704837445094"/>
          <c:y val="0.27680701370662025"/>
          <c:w val="0.24561614173228369"/>
          <c:h val="0.414690871974336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Sheet1!$D$48</c:f>
              <c:strCache>
                <c:ptCount val="1"/>
                <c:pt idx="0">
                  <c:v>ROE</c:v>
                </c:pt>
              </c:strCache>
            </c:strRef>
          </c:tx>
          <c:spPr>
            <a:ln w="34925" cap="rnd">
              <a:solidFill>
                <a:srgbClr val="C00000"/>
              </a:solidFill>
              <a:round/>
            </a:ln>
            <a:effectLst/>
          </c:spPr>
          <c:marker>
            <c:symbol val="none"/>
          </c:marker>
          <c:cat>
            <c:numRef>
              <c:f>Sheet1!$E$47:$J$47</c:f>
              <c:numCache>
                <c:formatCode>General</c:formatCode>
                <c:ptCount val="6"/>
                <c:pt idx="0">
                  <c:v>2010</c:v>
                </c:pt>
                <c:pt idx="1">
                  <c:v>2011</c:v>
                </c:pt>
                <c:pt idx="2">
                  <c:v>2012</c:v>
                </c:pt>
                <c:pt idx="3">
                  <c:v>2013</c:v>
                </c:pt>
                <c:pt idx="4">
                  <c:v>2014</c:v>
                </c:pt>
                <c:pt idx="5">
                  <c:v>2015</c:v>
                </c:pt>
              </c:numCache>
            </c:numRef>
          </c:cat>
          <c:val>
            <c:numRef>
              <c:f>Sheet1!$E$48:$J$48</c:f>
              <c:numCache>
                <c:formatCode>General</c:formatCode>
                <c:ptCount val="6"/>
                <c:pt idx="0">
                  <c:v>7.58</c:v>
                </c:pt>
                <c:pt idx="1">
                  <c:v>0.76</c:v>
                </c:pt>
                <c:pt idx="2">
                  <c:v>3.78</c:v>
                </c:pt>
                <c:pt idx="3">
                  <c:v>6.43</c:v>
                </c:pt>
                <c:pt idx="4">
                  <c:v>10.53</c:v>
                </c:pt>
                <c:pt idx="5">
                  <c:v>13.16</c:v>
                </c:pt>
              </c:numCache>
            </c:numRef>
          </c:val>
          <c:smooth val="0"/>
        </c:ser>
        <c:dLbls>
          <c:showLegendKey val="0"/>
          <c:showVal val="0"/>
          <c:showCatName val="0"/>
          <c:showSerName val="0"/>
          <c:showPercent val="0"/>
          <c:showBubbleSize val="0"/>
        </c:dLbls>
        <c:marker val="1"/>
        <c:smooth val="0"/>
        <c:axId val="535097528"/>
        <c:axId val="535097920"/>
      </c:lineChart>
      <c:lineChart>
        <c:grouping val="standard"/>
        <c:varyColors val="0"/>
        <c:ser>
          <c:idx val="1"/>
          <c:order val="1"/>
          <c:tx>
            <c:strRef>
              <c:f>Sheet1!$D$49</c:f>
              <c:strCache>
                <c:ptCount val="1"/>
                <c:pt idx="0">
                  <c:v>ROA</c:v>
                </c:pt>
              </c:strCache>
            </c:strRef>
          </c:tx>
          <c:spPr>
            <a:ln w="34925" cap="rnd">
              <a:solidFill>
                <a:schemeClr val="tx1">
                  <a:lumMod val="85000"/>
                  <a:lumOff val="15000"/>
                </a:schemeClr>
              </a:solidFill>
              <a:round/>
            </a:ln>
            <a:effectLst/>
          </c:spPr>
          <c:marker>
            <c:symbol val="none"/>
          </c:marker>
          <c:cat>
            <c:numRef>
              <c:f>Sheet1!$E$47:$J$47</c:f>
              <c:numCache>
                <c:formatCode>General</c:formatCode>
                <c:ptCount val="6"/>
                <c:pt idx="0">
                  <c:v>2010</c:v>
                </c:pt>
                <c:pt idx="1">
                  <c:v>2011</c:v>
                </c:pt>
                <c:pt idx="2">
                  <c:v>2012</c:v>
                </c:pt>
                <c:pt idx="3">
                  <c:v>2013</c:v>
                </c:pt>
                <c:pt idx="4">
                  <c:v>2014</c:v>
                </c:pt>
                <c:pt idx="5">
                  <c:v>2015</c:v>
                </c:pt>
              </c:numCache>
            </c:numRef>
          </c:cat>
          <c:val>
            <c:numRef>
              <c:f>Sheet1!$E$49:$J$49</c:f>
              <c:numCache>
                <c:formatCode>General</c:formatCode>
                <c:ptCount val="6"/>
                <c:pt idx="0">
                  <c:v>0.72</c:v>
                </c:pt>
                <c:pt idx="1">
                  <c:v>7.0000000000000007E-2</c:v>
                </c:pt>
                <c:pt idx="2">
                  <c:v>0.33</c:v>
                </c:pt>
                <c:pt idx="3">
                  <c:v>0.54</c:v>
                </c:pt>
                <c:pt idx="4">
                  <c:v>0.89</c:v>
                </c:pt>
                <c:pt idx="5">
                  <c:v>1.2</c:v>
                </c:pt>
              </c:numCache>
            </c:numRef>
          </c:val>
          <c:smooth val="0"/>
        </c:ser>
        <c:dLbls>
          <c:showLegendKey val="0"/>
          <c:showVal val="0"/>
          <c:showCatName val="0"/>
          <c:showSerName val="0"/>
          <c:showPercent val="0"/>
          <c:showBubbleSize val="0"/>
        </c:dLbls>
        <c:marker val="1"/>
        <c:smooth val="0"/>
        <c:axId val="538942056"/>
        <c:axId val="535098312"/>
      </c:lineChart>
      <c:catAx>
        <c:axId val="535097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5097920"/>
        <c:crosses val="autoZero"/>
        <c:auto val="1"/>
        <c:lblAlgn val="ctr"/>
        <c:lblOffset val="100"/>
        <c:noMultiLvlLbl val="0"/>
      </c:catAx>
      <c:valAx>
        <c:axId val="535097920"/>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5097528"/>
        <c:crosses val="autoZero"/>
        <c:crossBetween val="between"/>
      </c:valAx>
      <c:valAx>
        <c:axId val="53509831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38942056"/>
        <c:crosses val="max"/>
        <c:crossBetween val="between"/>
      </c:valAx>
      <c:catAx>
        <c:axId val="538942056"/>
        <c:scaling>
          <c:orientation val="minMax"/>
        </c:scaling>
        <c:delete val="1"/>
        <c:axPos val="b"/>
        <c:numFmt formatCode="General" sourceLinked="1"/>
        <c:majorTickMark val="none"/>
        <c:minorTickMark val="none"/>
        <c:tickLblPos val="nextTo"/>
        <c:crossAx val="535098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Perpetua" panose="02020502060401020303"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 4 rap vj'!$D$4</c:f>
              <c:strCache>
                <c:ptCount val="1"/>
                <c:pt idx="0">
                  <c:v>corporate deposits</c:v>
                </c:pt>
              </c:strCache>
            </c:strRef>
          </c:tx>
          <c:marker>
            <c:symbol val="none"/>
          </c:marker>
          <c:cat>
            <c:numRef>
              <c:f>'graf 4 rap vj'!$C$5:$C$18</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4 rap vj'!$D$5:$D$18</c:f>
              <c:numCache>
                <c:formatCode>_(* #,##0.00_);_(* \(#,##0.00\);_(* "-"??_);_(@_)</c:formatCode>
                <c:ptCount val="14"/>
                <c:pt idx="0">
                  <c:v>71.364629249999993</c:v>
                </c:pt>
                <c:pt idx="1">
                  <c:v>55.648601760999981</c:v>
                </c:pt>
                <c:pt idx="2">
                  <c:v>65.971493843000047</c:v>
                </c:pt>
                <c:pt idx="3">
                  <c:v>78.901867551999985</c:v>
                </c:pt>
                <c:pt idx="4">
                  <c:v>109.70674564599997</c:v>
                </c:pt>
                <c:pt idx="5">
                  <c:v>129.76765921999996</c:v>
                </c:pt>
                <c:pt idx="6">
                  <c:v>138.44903515353937</c:v>
                </c:pt>
                <c:pt idx="7">
                  <c:v>115.01689589615643</c:v>
                </c:pt>
                <c:pt idx="8">
                  <c:v>138.7055448387953</c:v>
                </c:pt>
                <c:pt idx="9">
                  <c:v>139.16345422449004</c:v>
                </c:pt>
                <c:pt idx="10">
                  <c:v>133.50780508861004</c:v>
                </c:pt>
                <c:pt idx="11">
                  <c:v>145.51234126523019</c:v>
                </c:pt>
                <c:pt idx="12">
                  <c:v>169.12621762399996</c:v>
                </c:pt>
                <c:pt idx="13">
                  <c:v>171.78962428790092</c:v>
                </c:pt>
              </c:numCache>
            </c:numRef>
          </c:val>
          <c:smooth val="0"/>
        </c:ser>
        <c:ser>
          <c:idx val="1"/>
          <c:order val="1"/>
          <c:tx>
            <c:strRef>
              <c:f>'graf 4 rap vj'!$E$4</c:f>
              <c:strCache>
                <c:ptCount val="1"/>
                <c:pt idx="0">
                  <c:v>individual deposits</c:v>
                </c:pt>
              </c:strCache>
            </c:strRef>
          </c:tx>
          <c:marker>
            <c:symbol val="none"/>
          </c:marker>
          <c:cat>
            <c:numRef>
              <c:f>'graf 4 rap vj'!$C$5:$C$18</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4 rap vj'!$E$5:$E$18</c:f>
              <c:numCache>
                <c:formatCode>_(* #,##0.00_);_(* \(#,##0.00\);_(* "-"??_);_(@_)</c:formatCode>
                <c:ptCount val="14"/>
                <c:pt idx="0">
                  <c:v>217.64140075</c:v>
                </c:pt>
                <c:pt idx="1">
                  <c:v>275.77749823900001</c:v>
                </c:pt>
                <c:pt idx="2">
                  <c:v>309.87140615699997</c:v>
                </c:pt>
                <c:pt idx="3">
                  <c:v>358.64493244800002</c:v>
                </c:pt>
                <c:pt idx="4">
                  <c:v>415.81875435400002</c:v>
                </c:pt>
                <c:pt idx="5">
                  <c:v>491.12330206000001</c:v>
                </c:pt>
                <c:pt idx="6">
                  <c:v>501.59686091168567</c:v>
                </c:pt>
                <c:pt idx="7">
                  <c:v>567.09573646030606</c:v>
                </c:pt>
                <c:pt idx="8">
                  <c:v>667.65095903133408</c:v>
                </c:pt>
                <c:pt idx="9">
                  <c:v>769.37046837986998</c:v>
                </c:pt>
                <c:pt idx="10">
                  <c:v>831.47443243469002</c:v>
                </c:pt>
                <c:pt idx="11">
                  <c:v>850.61509370977001</c:v>
                </c:pt>
                <c:pt idx="12">
                  <c:v>869.50257625999996</c:v>
                </c:pt>
                <c:pt idx="13">
                  <c:v>889.47384568152017</c:v>
                </c:pt>
              </c:numCache>
            </c:numRef>
          </c:val>
          <c:smooth val="0"/>
        </c:ser>
        <c:ser>
          <c:idx val="2"/>
          <c:order val="2"/>
          <c:tx>
            <c:strRef>
              <c:f>'graf 4 rap vj'!$F$4</c:f>
              <c:strCache>
                <c:ptCount val="1"/>
                <c:pt idx="0">
                  <c:v>insured deposits</c:v>
                </c:pt>
              </c:strCache>
            </c:strRef>
          </c:tx>
          <c:marker>
            <c:symbol val="none"/>
          </c:marker>
          <c:cat>
            <c:numRef>
              <c:f>'graf 4 rap vj'!$C$5:$C$18</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4 rap vj'!$F$5:$F$18</c:f>
              <c:numCache>
                <c:formatCode>_(* #,##0.00_);_(* \(#,##0.00\);_(* "-"??_);_(@_)</c:formatCode>
                <c:ptCount val="14"/>
                <c:pt idx="0">
                  <c:v>140.171077</c:v>
                </c:pt>
                <c:pt idx="1">
                  <c:v>148.89672598299998</c:v>
                </c:pt>
                <c:pt idx="2">
                  <c:v>167.25047781599997</c:v>
                </c:pt>
                <c:pt idx="3">
                  <c:v>182.62107269099999</c:v>
                </c:pt>
                <c:pt idx="4">
                  <c:v>200.22258641399998</c:v>
                </c:pt>
                <c:pt idx="5">
                  <c:v>224.04443458999998</c:v>
                </c:pt>
                <c:pt idx="6">
                  <c:v>351.90204732402691</c:v>
                </c:pt>
                <c:pt idx="7">
                  <c:v>393.11421182623087</c:v>
                </c:pt>
                <c:pt idx="8">
                  <c:v>451.33987032787974</c:v>
                </c:pt>
                <c:pt idx="9">
                  <c:v>497.39333988765009</c:v>
                </c:pt>
                <c:pt idx="10">
                  <c:v>546.10434382545998</c:v>
                </c:pt>
                <c:pt idx="11">
                  <c:v>557.00424238399989</c:v>
                </c:pt>
                <c:pt idx="12">
                  <c:v>570.59598810999989</c:v>
                </c:pt>
                <c:pt idx="13">
                  <c:v>591.11983650250818</c:v>
                </c:pt>
              </c:numCache>
            </c:numRef>
          </c:val>
          <c:smooth val="0"/>
        </c:ser>
        <c:ser>
          <c:idx val="3"/>
          <c:order val="3"/>
          <c:tx>
            <c:strRef>
              <c:f>'graf 4 rap vj'!$G$4</c:f>
              <c:strCache>
                <c:ptCount val="1"/>
                <c:pt idx="0">
                  <c:v>total deposits</c:v>
                </c:pt>
              </c:strCache>
            </c:strRef>
          </c:tx>
          <c:marker>
            <c:symbol val="none"/>
          </c:marker>
          <c:cat>
            <c:numRef>
              <c:f>'graf 4 rap vj'!$C$5:$C$18</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4 rap vj'!$G$5:$G$18</c:f>
              <c:numCache>
                <c:formatCode>_(* #,##0.00_);_(* \(#,##0.00\);_(* "-"??_);_(@_)</c:formatCode>
                <c:ptCount val="14"/>
                <c:pt idx="0">
                  <c:v>289.00603000000001</c:v>
                </c:pt>
                <c:pt idx="1">
                  <c:v>331.42610000000002</c:v>
                </c:pt>
                <c:pt idx="2">
                  <c:v>375.84289999999999</c:v>
                </c:pt>
                <c:pt idx="3">
                  <c:v>437.54680000000002</c:v>
                </c:pt>
                <c:pt idx="4">
                  <c:v>525.52549999999997</c:v>
                </c:pt>
                <c:pt idx="5">
                  <c:v>620.89096127999994</c:v>
                </c:pt>
                <c:pt idx="6">
                  <c:v>640.04589606522495</c:v>
                </c:pt>
                <c:pt idx="7">
                  <c:v>682.11263235646243</c:v>
                </c:pt>
                <c:pt idx="8">
                  <c:v>806.35650387012936</c:v>
                </c:pt>
                <c:pt idx="9">
                  <c:v>908.53392260435999</c:v>
                </c:pt>
                <c:pt idx="10">
                  <c:v>964.9822375233</c:v>
                </c:pt>
                <c:pt idx="11">
                  <c:v>996.12743497500014</c:v>
                </c:pt>
                <c:pt idx="12">
                  <c:v>1038.6287938839998</c:v>
                </c:pt>
                <c:pt idx="13">
                  <c:v>1061.2634699694211</c:v>
                </c:pt>
              </c:numCache>
            </c:numRef>
          </c:val>
          <c:smooth val="0"/>
        </c:ser>
        <c:dLbls>
          <c:showLegendKey val="0"/>
          <c:showVal val="0"/>
          <c:showCatName val="0"/>
          <c:showSerName val="0"/>
          <c:showPercent val="0"/>
          <c:showBubbleSize val="0"/>
        </c:dLbls>
        <c:smooth val="0"/>
        <c:axId val="538940880"/>
        <c:axId val="538941664"/>
      </c:lineChart>
      <c:catAx>
        <c:axId val="538940880"/>
        <c:scaling>
          <c:orientation val="minMax"/>
        </c:scaling>
        <c:delete val="0"/>
        <c:axPos val="b"/>
        <c:numFmt formatCode="General" sourceLinked="1"/>
        <c:majorTickMark val="none"/>
        <c:minorTickMark val="none"/>
        <c:tickLblPos val="nextTo"/>
        <c:txPr>
          <a:bodyPr/>
          <a:lstStyle/>
          <a:p>
            <a:pPr>
              <a:defRPr sz="600">
                <a:latin typeface="Perpetua" pitchFamily="18" charset="0"/>
              </a:defRPr>
            </a:pPr>
            <a:endParaRPr lang="en-US"/>
          </a:p>
        </c:txPr>
        <c:crossAx val="538941664"/>
        <c:crosses val="autoZero"/>
        <c:auto val="1"/>
        <c:lblAlgn val="ctr"/>
        <c:lblOffset val="100"/>
        <c:noMultiLvlLbl val="0"/>
      </c:catAx>
      <c:valAx>
        <c:axId val="538941664"/>
        <c:scaling>
          <c:orientation val="minMax"/>
        </c:scaling>
        <c:delete val="0"/>
        <c:axPos val="l"/>
        <c:majorGridlines/>
        <c:title>
          <c:tx>
            <c:rich>
              <a:bodyPr rot="-5400000" vert="horz"/>
              <a:lstStyle/>
              <a:p>
                <a:pPr>
                  <a:defRPr sz="600" b="0">
                    <a:latin typeface="Perpetua" pitchFamily="18" charset="0"/>
                  </a:defRPr>
                </a:pPr>
                <a:r>
                  <a:rPr lang="en-US" sz="600" b="0">
                    <a:latin typeface="Perpetua" pitchFamily="18" charset="0"/>
                  </a:rPr>
                  <a:t>value in billion  ALL </a:t>
                </a:r>
              </a:p>
            </c:rich>
          </c:tx>
          <c:overlay val="0"/>
        </c:title>
        <c:numFmt formatCode="_(* #,##0.00_);_(* \(#,##0.00\);_(* &quot;-&quot;??_);_(@_)" sourceLinked="1"/>
        <c:majorTickMark val="none"/>
        <c:minorTickMark val="none"/>
        <c:tickLblPos val="nextTo"/>
        <c:txPr>
          <a:bodyPr/>
          <a:lstStyle/>
          <a:p>
            <a:pPr>
              <a:defRPr sz="800"/>
            </a:pPr>
            <a:endParaRPr lang="en-US"/>
          </a:p>
        </c:txPr>
        <c:crossAx val="538940880"/>
        <c:crosses val="autoZero"/>
        <c:crossBetween val="between"/>
      </c:valAx>
      <c:spPr>
        <a:ln>
          <a:noFill/>
        </a:ln>
      </c:spPr>
    </c:plotArea>
    <c:legend>
      <c:legendPos val="r"/>
      <c:overlay val="0"/>
      <c:txPr>
        <a:bodyPr/>
        <a:lstStyle/>
        <a:p>
          <a:pPr>
            <a:defRPr sz="900">
              <a:latin typeface="Perpetua" pitchFamily="18"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 5 rap vj'!$B$28</c:f>
              <c:strCache>
                <c:ptCount val="1"/>
                <c:pt idx="0">
                  <c:v>legal subjetc deposits</c:v>
                </c:pt>
              </c:strCache>
            </c:strRef>
          </c:tx>
          <c:invertIfNegative val="0"/>
          <c:dLbls>
            <c:spPr>
              <a:noFill/>
              <a:ln>
                <a:noFill/>
              </a:ln>
              <a:effectLst/>
            </c:spPr>
            <c:txPr>
              <a:bodyPr/>
              <a:lstStyle/>
              <a:p>
                <a:pPr>
                  <a:defRPr sz="600">
                    <a:latin typeface="Perpetua"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5 rap vj'!$C$27:$I$27</c:f>
              <c:numCache>
                <c:formatCode>General</c:formatCode>
                <c:ptCount val="7"/>
                <c:pt idx="0">
                  <c:v>2009</c:v>
                </c:pt>
                <c:pt idx="1">
                  <c:v>2010</c:v>
                </c:pt>
                <c:pt idx="2">
                  <c:v>2011</c:v>
                </c:pt>
                <c:pt idx="3">
                  <c:v>2012</c:v>
                </c:pt>
                <c:pt idx="4">
                  <c:v>2013</c:v>
                </c:pt>
                <c:pt idx="5">
                  <c:v>2014</c:v>
                </c:pt>
                <c:pt idx="6">
                  <c:v>2015</c:v>
                </c:pt>
              </c:numCache>
            </c:numRef>
          </c:cat>
          <c:val>
            <c:numRef>
              <c:f>'graf 5 rap vj'!$C$28:$I$28</c:f>
              <c:numCache>
                <c:formatCode>0</c:formatCode>
                <c:ptCount val="7"/>
                <c:pt idx="0">
                  <c:v>16.861862754075226</c:v>
                </c:pt>
                <c:pt idx="1">
                  <c:v>17.201516224284713</c:v>
                </c:pt>
                <c:pt idx="2">
                  <c:v>15.317364686347728</c:v>
                </c:pt>
                <c:pt idx="3">
                  <c:v>13.835260370311886</c:v>
                </c:pt>
                <c:pt idx="4">
                  <c:v>14.607803796597786</c:v>
                </c:pt>
                <c:pt idx="5">
                  <c:v>16.283605713600981</c:v>
                </c:pt>
                <c:pt idx="6">
                  <c:v>16.187273862620639</c:v>
                </c:pt>
              </c:numCache>
            </c:numRef>
          </c:val>
        </c:ser>
        <c:ser>
          <c:idx val="1"/>
          <c:order val="1"/>
          <c:tx>
            <c:strRef>
              <c:f>'graf 5 rap vj'!$B$29</c:f>
              <c:strCache>
                <c:ptCount val="1"/>
                <c:pt idx="0">
                  <c:v> uninsured individual deposits</c:v>
                </c:pt>
              </c:strCache>
            </c:strRef>
          </c:tx>
          <c:invertIfNegative val="0"/>
          <c:dLbls>
            <c:spPr>
              <a:noFill/>
              <a:ln>
                <a:noFill/>
              </a:ln>
              <a:effectLst/>
            </c:spPr>
            <c:txPr>
              <a:bodyPr/>
              <a:lstStyle/>
              <a:p>
                <a:pPr>
                  <a:defRPr sz="600">
                    <a:latin typeface="Perpetua"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5 rap vj'!$C$27:$I$27</c:f>
              <c:numCache>
                <c:formatCode>General</c:formatCode>
                <c:ptCount val="7"/>
                <c:pt idx="0">
                  <c:v>2009</c:v>
                </c:pt>
                <c:pt idx="1">
                  <c:v>2010</c:v>
                </c:pt>
                <c:pt idx="2">
                  <c:v>2011</c:v>
                </c:pt>
                <c:pt idx="3">
                  <c:v>2012</c:v>
                </c:pt>
                <c:pt idx="4">
                  <c:v>2013</c:v>
                </c:pt>
                <c:pt idx="5">
                  <c:v>2014</c:v>
                </c:pt>
                <c:pt idx="6">
                  <c:v>2015</c:v>
                </c:pt>
              </c:numCache>
            </c:numRef>
          </c:cat>
          <c:val>
            <c:numRef>
              <c:f>'graf 5 rap vj'!$C$29:$I$29</c:f>
              <c:numCache>
                <c:formatCode>0</c:formatCode>
                <c:ptCount val="7"/>
                <c:pt idx="0">
                  <c:v>25.506275119554584</c:v>
                </c:pt>
                <c:pt idx="1">
                  <c:v>26.825738698114733</c:v>
                </c:pt>
                <c:pt idx="2">
                  <c:v>29.935825369358053</c:v>
                </c:pt>
                <c:pt idx="3">
                  <c:v>29.572574241537747</c:v>
                </c:pt>
                <c:pt idx="4">
                  <c:v>29.47522987690213</c:v>
                </c:pt>
                <c:pt idx="5">
                  <c:v>28.778962215386418</c:v>
                </c:pt>
                <c:pt idx="6">
                  <c:v>28.113095157002689</c:v>
                </c:pt>
              </c:numCache>
            </c:numRef>
          </c:val>
        </c:ser>
        <c:ser>
          <c:idx val="2"/>
          <c:order val="2"/>
          <c:tx>
            <c:strRef>
              <c:f>'graf 5 rap vj'!$B$30</c:f>
              <c:strCache>
                <c:ptCount val="1"/>
                <c:pt idx="0">
                  <c:v>insured individual deposits</c:v>
                </c:pt>
              </c:strCache>
            </c:strRef>
          </c:tx>
          <c:invertIfNegative val="0"/>
          <c:dLbls>
            <c:spPr>
              <a:noFill/>
              <a:ln>
                <a:noFill/>
              </a:ln>
              <a:effectLst/>
            </c:spPr>
            <c:txPr>
              <a:bodyPr/>
              <a:lstStyle/>
              <a:p>
                <a:pPr>
                  <a:defRPr sz="6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5 rap vj'!$C$27:$I$27</c:f>
              <c:numCache>
                <c:formatCode>General</c:formatCode>
                <c:ptCount val="7"/>
                <c:pt idx="0">
                  <c:v>2009</c:v>
                </c:pt>
                <c:pt idx="1">
                  <c:v>2010</c:v>
                </c:pt>
                <c:pt idx="2">
                  <c:v>2011</c:v>
                </c:pt>
                <c:pt idx="3">
                  <c:v>2012</c:v>
                </c:pt>
                <c:pt idx="4">
                  <c:v>2013</c:v>
                </c:pt>
                <c:pt idx="5">
                  <c:v>2014</c:v>
                </c:pt>
                <c:pt idx="6">
                  <c:v>2015</c:v>
                </c:pt>
              </c:numCache>
            </c:numRef>
          </c:cat>
          <c:val>
            <c:numRef>
              <c:f>'graf 5 rap vj'!$C$30:$I$30</c:f>
              <c:numCache>
                <c:formatCode>0</c:formatCode>
                <c:ptCount val="7"/>
                <c:pt idx="0">
                  <c:v>57.631862126370201</c:v>
                </c:pt>
                <c:pt idx="1">
                  <c:v>55.97274507760055</c:v>
                </c:pt>
                <c:pt idx="2">
                  <c:v>54.746809944294213</c:v>
                </c:pt>
                <c:pt idx="3">
                  <c:v>56.59216538815037</c:v>
                </c:pt>
                <c:pt idx="4">
                  <c:v>55.916966326500081</c:v>
                </c:pt>
                <c:pt idx="5">
                  <c:v>54.937432071012594</c:v>
                </c:pt>
                <c:pt idx="6">
                  <c:v>55.699630980376682</c:v>
                </c:pt>
              </c:numCache>
            </c:numRef>
          </c:val>
        </c:ser>
        <c:dLbls>
          <c:showLegendKey val="0"/>
          <c:showVal val="1"/>
          <c:showCatName val="0"/>
          <c:showSerName val="0"/>
          <c:showPercent val="0"/>
          <c:showBubbleSize val="0"/>
        </c:dLbls>
        <c:gapWidth val="150"/>
        <c:overlap val="100"/>
        <c:axId val="538942448"/>
        <c:axId val="538942840"/>
      </c:barChart>
      <c:catAx>
        <c:axId val="538942448"/>
        <c:scaling>
          <c:orientation val="minMax"/>
        </c:scaling>
        <c:delete val="0"/>
        <c:axPos val="b"/>
        <c:numFmt formatCode="General" sourceLinked="1"/>
        <c:majorTickMark val="out"/>
        <c:minorTickMark val="none"/>
        <c:tickLblPos val="nextTo"/>
        <c:txPr>
          <a:bodyPr/>
          <a:lstStyle/>
          <a:p>
            <a:pPr>
              <a:defRPr sz="800">
                <a:latin typeface="Perpetua" pitchFamily="18" charset="0"/>
              </a:defRPr>
            </a:pPr>
            <a:endParaRPr lang="en-US"/>
          </a:p>
        </c:txPr>
        <c:crossAx val="538942840"/>
        <c:crosses val="autoZero"/>
        <c:auto val="1"/>
        <c:lblAlgn val="ctr"/>
        <c:lblOffset val="100"/>
        <c:noMultiLvlLbl val="0"/>
      </c:catAx>
      <c:valAx>
        <c:axId val="538942840"/>
        <c:scaling>
          <c:orientation val="minMax"/>
        </c:scaling>
        <c:delete val="0"/>
        <c:axPos val="l"/>
        <c:majorGridlines/>
        <c:title>
          <c:tx>
            <c:rich>
              <a:bodyPr rot="-5400000" vert="horz"/>
              <a:lstStyle/>
              <a:p>
                <a:pPr>
                  <a:defRPr sz="800" b="0">
                    <a:latin typeface="Perpetua" pitchFamily="18" charset="0"/>
                  </a:defRPr>
                </a:pPr>
                <a:r>
                  <a:rPr lang="en-US" sz="800" b="0">
                    <a:latin typeface="Perpetua" pitchFamily="18" charset="0"/>
                  </a:rPr>
                  <a:t>value</a:t>
                </a:r>
                <a:r>
                  <a:rPr lang="en-US" sz="800" b="0" baseline="0">
                    <a:latin typeface="Perpetua" pitchFamily="18" charset="0"/>
                  </a:rPr>
                  <a:t> in %</a:t>
                </a:r>
                <a:endParaRPr lang="en-US" sz="800" b="0">
                  <a:latin typeface="Perpetua" pitchFamily="18" charset="0"/>
                </a:endParaRPr>
              </a:p>
            </c:rich>
          </c:tx>
          <c:overlay val="0"/>
        </c:title>
        <c:numFmt formatCode="0" sourceLinked="1"/>
        <c:majorTickMark val="out"/>
        <c:minorTickMark val="none"/>
        <c:tickLblPos val="nextTo"/>
        <c:txPr>
          <a:bodyPr/>
          <a:lstStyle/>
          <a:p>
            <a:pPr>
              <a:defRPr sz="800"/>
            </a:pPr>
            <a:endParaRPr lang="en-US"/>
          </a:p>
        </c:txPr>
        <c:crossAx val="538942448"/>
        <c:crosses val="autoZero"/>
        <c:crossBetween val="between"/>
      </c:valAx>
    </c:plotArea>
    <c:legend>
      <c:legendPos val="r"/>
      <c:overlay val="0"/>
      <c:txPr>
        <a:bodyPr/>
        <a:lstStyle/>
        <a:p>
          <a:pPr>
            <a:defRPr sz="900">
              <a:latin typeface="Perpetua" pitchFamily="18"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552444198962E-2"/>
          <c:y val="4.6968403074295471E-2"/>
          <c:w val="0.6063115438465787"/>
          <c:h val="0.78178150446821815"/>
        </c:manualLayout>
      </c:layout>
      <c:barChart>
        <c:barDir val="col"/>
        <c:grouping val="stacked"/>
        <c:varyColors val="0"/>
        <c:ser>
          <c:idx val="2"/>
          <c:order val="0"/>
          <c:tx>
            <c:strRef>
              <c:f>'[Chart in Microsoft Word]Graf V'!$J$41</c:f>
              <c:strCache>
                <c:ptCount val="1"/>
                <c:pt idx="0">
                  <c:v>Depozitat e individëve të siguruara</c:v>
                </c:pt>
              </c:strCache>
            </c:strRef>
          </c:tx>
          <c:spPr>
            <a:solidFill>
              <a:srgbClr val="C00000"/>
            </a:solidFill>
          </c:spPr>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Word]Graf V'!$K$38:$Q$38</c:f>
              <c:numCache>
                <c:formatCode>General</c:formatCode>
                <c:ptCount val="7"/>
                <c:pt idx="0">
                  <c:v>2009</c:v>
                </c:pt>
                <c:pt idx="1">
                  <c:v>2010</c:v>
                </c:pt>
                <c:pt idx="2">
                  <c:v>2011</c:v>
                </c:pt>
                <c:pt idx="3">
                  <c:v>2012</c:v>
                </c:pt>
                <c:pt idx="4">
                  <c:v>2013</c:v>
                </c:pt>
                <c:pt idx="5">
                  <c:v>2014</c:v>
                </c:pt>
                <c:pt idx="6">
                  <c:v>2015</c:v>
                </c:pt>
              </c:numCache>
            </c:numRef>
          </c:cat>
          <c:val>
            <c:numRef>
              <c:f>'[Chart in Microsoft Word]Graf V'!$K$41:$Q$41</c:f>
              <c:numCache>
                <c:formatCode>0</c:formatCode>
                <c:ptCount val="7"/>
                <c:pt idx="0">
                  <c:v>57.631862126370201</c:v>
                </c:pt>
                <c:pt idx="1">
                  <c:v>55.972745077600536</c:v>
                </c:pt>
                <c:pt idx="2">
                  <c:v>54.746809944294206</c:v>
                </c:pt>
                <c:pt idx="3">
                  <c:v>56.592165388150399</c:v>
                </c:pt>
                <c:pt idx="4">
                  <c:v>55.916966326500081</c:v>
                </c:pt>
                <c:pt idx="5">
                  <c:v>54.937432071012573</c:v>
                </c:pt>
                <c:pt idx="6">
                  <c:v>55.699630980376682</c:v>
                </c:pt>
              </c:numCache>
            </c:numRef>
          </c:val>
        </c:ser>
        <c:ser>
          <c:idx val="1"/>
          <c:order val="1"/>
          <c:tx>
            <c:strRef>
              <c:f>'[Chart in Microsoft Word]Graf V'!$J$40</c:f>
              <c:strCache>
                <c:ptCount val="1"/>
                <c:pt idx="0">
                  <c:v>Depozitat e individëve të pasiguruara</c:v>
                </c:pt>
              </c:strCache>
            </c:strRef>
          </c:tx>
          <c:spPr>
            <a:solidFill>
              <a:sysClr val="window" lastClr="FFFFFF">
                <a:lumMod val="75000"/>
              </a:sys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Word]Graf V'!$K$38:$Q$38</c:f>
              <c:numCache>
                <c:formatCode>General</c:formatCode>
                <c:ptCount val="7"/>
                <c:pt idx="0">
                  <c:v>2009</c:v>
                </c:pt>
                <c:pt idx="1">
                  <c:v>2010</c:v>
                </c:pt>
                <c:pt idx="2">
                  <c:v>2011</c:v>
                </c:pt>
                <c:pt idx="3">
                  <c:v>2012</c:v>
                </c:pt>
                <c:pt idx="4">
                  <c:v>2013</c:v>
                </c:pt>
                <c:pt idx="5">
                  <c:v>2014</c:v>
                </c:pt>
                <c:pt idx="6">
                  <c:v>2015</c:v>
                </c:pt>
              </c:numCache>
            </c:numRef>
          </c:cat>
          <c:val>
            <c:numRef>
              <c:f>'[Chart in Microsoft Word]Graf V'!$K$40:$Q$40</c:f>
              <c:numCache>
                <c:formatCode>0</c:formatCode>
                <c:ptCount val="7"/>
                <c:pt idx="0">
                  <c:v>25.506275119554594</c:v>
                </c:pt>
                <c:pt idx="1">
                  <c:v>26.825738698114726</c:v>
                </c:pt>
                <c:pt idx="2">
                  <c:v>29.93582536935806</c:v>
                </c:pt>
                <c:pt idx="3">
                  <c:v>29.572574241537733</c:v>
                </c:pt>
                <c:pt idx="4">
                  <c:v>29.475229876902112</c:v>
                </c:pt>
                <c:pt idx="5">
                  <c:v>28.778962215386418</c:v>
                </c:pt>
                <c:pt idx="6">
                  <c:v>28.113095157002707</c:v>
                </c:pt>
              </c:numCache>
            </c:numRef>
          </c:val>
        </c:ser>
        <c:ser>
          <c:idx val="0"/>
          <c:order val="2"/>
          <c:tx>
            <c:strRef>
              <c:f>'[Chart in Microsoft Word]Graf V'!$J$39</c:f>
              <c:strCache>
                <c:ptCount val="1"/>
                <c:pt idx="0">
                  <c:v>Depozitat e subjekteve juridike</c:v>
                </c:pt>
              </c:strCache>
            </c:strRef>
          </c:tx>
          <c:spPr>
            <a:solidFill>
              <a:sysClr val="windowText" lastClr="000000">
                <a:lumMod val="75000"/>
                <a:lumOff val="25000"/>
              </a:sysClr>
            </a:solidFill>
          </c:spPr>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Word]Graf V'!$K$38:$Q$38</c:f>
              <c:numCache>
                <c:formatCode>General</c:formatCode>
                <c:ptCount val="7"/>
                <c:pt idx="0">
                  <c:v>2009</c:v>
                </c:pt>
                <c:pt idx="1">
                  <c:v>2010</c:v>
                </c:pt>
                <c:pt idx="2">
                  <c:v>2011</c:v>
                </c:pt>
                <c:pt idx="3">
                  <c:v>2012</c:v>
                </c:pt>
                <c:pt idx="4">
                  <c:v>2013</c:v>
                </c:pt>
                <c:pt idx="5">
                  <c:v>2014</c:v>
                </c:pt>
                <c:pt idx="6">
                  <c:v>2015</c:v>
                </c:pt>
              </c:numCache>
            </c:numRef>
          </c:cat>
          <c:val>
            <c:numRef>
              <c:f>'[Chart in Microsoft Word]Graf V'!$K$39:$Q$39</c:f>
              <c:numCache>
                <c:formatCode>0</c:formatCode>
                <c:ptCount val="7"/>
                <c:pt idx="0">
                  <c:v>16.861862754075233</c:v>
                </c:pt>
                <c:pt idx="1">
                  <c:v>17.201516224284713</c:v>
                </c:pt>
                <c:pt idx="2">
                  <c:v>15.317364686347728</c:v>
                </c:pt>
                <c:pt idx="3">
                  <c:v>13.835260370311882</c:v>
                </c:pt>
                <c:pt idx="4">
                  <c:v>14.607803796597782</c:v>
                </c:pt>
                <c:pt idx="5">
                  <c:v>16.283605713600981</c:v>
                </c:pt>
                <c:pt idx="6">
                  <c:v>16.187273862620639</c:v>
                </c:pt>
              </c:numCache>
            </c:numRef>
          </c:val>
        </c:ser>
        <c:dLbls>
          <c:showLegendKey val="0"/>
          <c:showVal val="1"/>
          <c:showCatName val="0"/>
          <c:showSerName val="0"/>
          <c:showPercent val="0"/>
          <c:showBubbleSize val="0"/>
        </c:dLbls>
        <c:gapWidth val="150"/>
        <c:overlap val="100"/>
        <c:axId val="538940096"/>
        <c:axId val="538937744"/>
      </c:barChart>
      <c:catAx>
        <c:axId val="538940096"/>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a:pPr>
            <a:endParaRPr lang="en-US"/>
          </a:p>
        </c:txPr>
        <c:crossAx val="538937744"/>
        <c:crosses val="autoZero"/>
        <c:auto val="1"/>
        <c:lblAlgn val="ctr"/>
        <c:lblOffset val="100"/>
        <c:noMultiLvlLbl val="0"/>
      </c:catAx>
      <c:valAx>
        <c:axId val="538937744"/>
        <c:scaling>
          <c:orientation val="minMax"/>
          <c:max val="100"/>
        </c:scaling>
        <c:delete val="0"/>
        <c:axPos val="l"/>
        <c:majorGridlines>
          <c:spPr>
            <a:ln>
              <a:solidFill>
                <a:sysClr val="windowText" lastClr="000000"/>
              </a:solidFill>
            </a:ln>
          </c:spPr>
        </c:majorGridlines>
        <c:title>
          <c:tx>
            <c:rich>
              <a:bodyPr rot="-5400000" vert="horz"/>
              <a:lstStyle/>
              <a:p>
                <a:pPr>
                  <a:defRPr sz="900" b="0"/>
                </a:pPr>
                <a:r>
                  <a:rPr lang="en-US" sz="900" b="0"/>
                  <a:t>vlerat në për qindje</a:t>
                </a:r>
              </a:p>
            </c:rich>
          </c:tx>
          <c:overlay val="0"/>
        </c:title>
        <c:numFmt formatCode="0" sourceLinked="1"/>
        <c:majorTickMark val="out"/>
        <c:minorTickMark val="none"/>
        <c:tickLblPos val="nextTo"/>
        <c:spPr>
          <a:ln>
            <a:solidFill>
              <a:sysClr val="windowText" lastClr="000000"/>
            </a:solidFill>
          </a:ln>
        </c:spPr>
        <c:txPr>
          <a:bodyPr/>
          <a:lstStyle/>
          <a:p>
            <a:pPr>
              <a:defRPr sz="900"/>
            </a:pPr>
            <a:endParaRPr lang="en-US"/>
          </a:p>
        </c:txPr>
        <c:crossAx val="538940096"/>
        <c:crosses val="autoZero"/>
        <c:crossBetween val="between"/>
        <c:majorUnit val="20"/>
      </c:valAx>
    </c:plotArea>
    <c:legend>
      <c:legendPos val="r"/>
      <c:layout>
        <c:manualLayout>
          <c:xMode val="edge"/>
          <c:yMode val="edge"/>
          <c:x val="0.72126754954978078"/>
          <c:y val="0.39191854327346598"/>
          <c:w val="0.26568187948773941"/>
          <c:h val="0.33571884855127532"/>
        </c:manualLayout>
      </c:layout>
      <c:overlay val="0"/>
      <c:txPr>
        <a:bodyPr/>
        <a:lstStyle/>
        <a:p>
          <a:pPr>
            <a:defRPr sz="900"/>
          </a:pPr>
          <a:endParaRPr lang="en-US"/>
        </a:p>
      </c:txPr>
    </c:legend>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5254095343112"/>
          <c:y val="5.2667584802850241E-2"/>
          <c:w val="0.53244764468700223"/>
          <c:h val="0.83018712014610341"/>
        </c:manualLayout>
      </c:layout>
      <c:barChart>
        <c:barDir val="col"/>
        <c:grouping val="clustered"/>
        <c:varyColors val="0"/>
        <c:ser>
          <c:idx val="0"/>
          <c:order val="0"/>
          <c:tx>
            <c:strRef>
              <c:f>'\Users\librahimi.DIA\AppData\Local\Microsoft\Windows\Temporary Internet Files\Content.Outlook\235VVSK5\[Copy of grafiket per raportin vjetor 2015-sent_blerta.xlsx]Graf 3'!$C$3</c:f>
              <c:strCache>
                <c:ptCount val="1"/>
                <c:pt idx="0">
                  <c:v>Totali i depozitave </c:v>
                </c:pt>
              </c:strCache>
            </c:strRef>
          </c:tx>
          <c:spPr>
            <a:solidFill>
              <a:srgbClr val="C00000"/>
            </a:solidFill>
            <a:ln>
              <a:noFill/>
            </a:ln>
            <a:effectLst/>
          </c:spPr>
          <c:invertIfNegative val="0"/>
          <c:cat>
            <c:strRef>
              <c:f>'\Users\librahimi.DIA\AppData\Local\Microsoft\Windows\Temporary Internet Files\Content.Outlook\235VVSK5\[Copy of grafiket per raportin vjetor 2015-sent_blerta.xlsx]Graf 3'!$B$4:$B$8</c:f>
              <c:strCache>
                <c:ptCount val="5"/>
                <c:pt idx="0">
                  <c:v>Dhjetor 2014</c:v>
                </c:pt>
                <c:pt idx="1">
                  <c:v>Mars 2015</c:v>
                </c:pt>
                <c:pt idx="2">
                  <c:v>Qershor 2015</c:v>
                </c:pt>
                <c:pt idx="3">
                  <c:v>Shtator 2015</c:v>
                </c:pt>
                <c:pt idx="4">
                  <c:v>Dhjetor 2015</c:v>
                </c:pt>
              </c:strCache>
            </c:strRef>
          </c:cat>
          <c:val>
            <c:numRef>
              <c:f>'\Users\librahimi.DIA\AppData\Local\Microsoft\Windows\Temporary Internet Files\Content.Outlook\235VVSK5\[Copy of grafiket per raportin vjetor 2015-sent_blerta.xlsx]Graf 3'!$C$4:$C$8</c:f>
              <c:numCache>
                <c:formatCode>General</c:formatCode>
                <c:ptCount val="5"/>
                <c:pt idx="0">
                  <c:v>1038.6287938840001</c:v>
                </c:pt>
                <c:pt idx="1">
                  <c:v>1043.7643587491223</c:v>
                </c:pt>
                <c:pt idx="2">
                  <c:v>1041.7807624848533</c:v>
                </c:pt>
                <c:pt idx="3">
                  <c:v>1051.3024522672488</c:v>
                </c:pt>
                <c:pt idx="4">
                  <c:v>1061.2634699694208</c:v>
                </c:pt>
              </c:numCache>
            </c:numRef>
          </c:val>
        </c:ser>
        <c:ser>
          <c:idx val="1"/>
          <c:order val="1"/>
          <c:tx>
            <c:strRef>
              <c:f>'\Users\librahimi.DIA\AppData\Local\Microsoft\Windows\Temporary Internet Files\Content.Outlook\235VVSK5\[Copy of grafiket per raportin vjetor 2015-sent_blerta.xlsx]Graf 3'!$D$3</c:f>
              <c:strCache>
                <c:ptCount val="1"/>
                <c:pt idx="0">
                  <c:v>depozitat e Individëve</c:v>
                </c:pt>
              </c:strCache>
            </c:strRef>
          </c:tx>
          <c:spPr>
            <a:solidFill>
              <a:schemeClr val="bg1">
                <a:lumMod val="50000"/>
              </a:schemeClr>
            </a:solidFill>
            <a:ln>
              <a:noFill/>
            </a:ln>
            <a:effectLst/>
          </c:spPr>
          <c:invertIfNegative val="0"/>
          <c:cat>
            <c:strRef>
              <c:f>'\Users\librahimi.DIA\AppData\Local\Microsoft\Windows\Temporary Internet Files\Content.Outlook\235VVSK5\[Copy of grafiket per raportin vjetor 2015-sent_blerta.xlsx]Graf 3'!$B$4:$B$8</c:f>
              <c:strCache>
                <c:ptCount val="5"/>
                <c:pt idx="0">
                  <c:v>Dhjetor 2014</c:v>
                </c:pt>
                <c:pt idx="1">
                  <c:v>Mars 2015</c:v>
                </c:pt>
                <c:pt idx="2">
                  <c:v>Qershor 2015</c:v>
                </c:pt>
                <c:pt idx="3">
                  <c:v>Shtator 2015</c:v>
                </c:pt>
                <c:pt idx="4">
                  <c:v>Dhjetor 2015</c:v>
                </c:pt>
              </c:strCache>
            </c:strRef>
          </c:cat>
          <c:val>
            <c:numRef>
              <c:f>'\Users\librahimi.DIA\AppData\Local\Microsoft\Windows\Temporary Internet Files\Content.Outlook\235VVSK5\[Copy of grafiket per raportin vjetor 2015-sent_blerta.xlsx]Graf 3'!$D$4:$D$8</c:f>
              <c:numCache>
                <c:formatCode>General</c:formatCode>
                <c:ptCount val="5"/>
                <c:pt idx="0">
                  <c:v>869.50257626000018</c:v>
                </c:pt>
                <c:pt idx="1">
                  <c:v>876.3487276385398</c:v>
                </c:pt>
                <c:pt idx="2">
                  <c:v>880.97037229194052</c:v>
                </c:pt>
                <c:pt idx="3">
                  <c:v>874.04743873609459</c:v>
                </c:pt>
                <c:pt idx="4">
                  <c:v>889.4738456815204</c:v>
                </c:pt>
              </c:numCache>
            </c:numRef>
          </c:val>
        </c:ser>
        <c:dLbls>
          <c:showLegendKey val="0"/>
          <c:showVal val="0"/>
          <c:showCatName val="0"/>
          <c:showSerName val="0"/>
          <c:showPercent val="0"/>
          <c:showBubbleSize val="0"/>
        </c:dLbls>
        <c:gapWidth val="269"/>
        <c:axId val="538933824"/>
        <c:axId val="538938136"/>
      </c:barChart>
      <c:lineChart>
        <c:grouping val="standard"/>
        <c:varyColors val="0"/>
        <c:ser>
          <c:idx val="2"/>
          <c:order val="2"/>
          <c:tx>
            <c:strRef>
              <c:f>'\Users\librahimi.DIA\AppData\Local\Microsoft\Windows\Temporary Internet Files\Content.Outlook\235VVSK5\[Copy of grafiket per raportin vjetor 2015-sent_blerta.xlsx]Graf 3'!$E$3</c:f>
              <c:strCache>
                <c:ptCount val="1"/>
                <c:pt idx="0">
                  <c:v>Ndryshimi tremujor i totalit të depozitave ( boshti djathtas)</c:v>
                </c:pt>
              </c:strCache>
            </c:strRef>
          </c:tx>
          <c:spPr>
            <a:ln w="31750" cap="rnd">
              <a:solidFill>
                <a:schemeClr val="bg2"/>
              </a:solidFill>
              <a:round/>
            </a:ln>
            <a:effectLst/>
          </c:spPr>
          <c:marker>
            <c:symbol val="circle"/>
            <c:size val="5"/>
            <c:spPr>
              <a:solidFill>
                <a:schemeClr val="tx1">
                  <a:lumMod val="95000"/>
                  <a:lumOff val="5000"/>
                </a:schemeClr>
              </a:solidFill>
              <a:ln w="9525">
                <a:noFill/>
              </a:ln>
              <a:effectLst/>
            </c:spPr>
          </c:marker>
          <c:cat>
            <c:strRef>
              <c:f>'\Users\librahimi.DIA\AppData\Local\Microsoft\Windows\Temporary Internet Files\Content.Outlook\235VVSK5\[Copy of grafiket per raportin vjetor 2015-sent_blerta.xlsx]Graf 3'!$B$4:$B$8</c:f>
              <c:strCache>
                <c:ptCount val="5"/>
                <c:pt idx="0">
                  <c:v>Dhjetor 2014</c:v>
                </c:pt>
                <c:pt idx="1">
                  <c:v>Mars 2015</c:v>
                </c:pt>
                <c:pt idx="2">
                  <c:v>Qershor 2015</c:v>
                </c:pt>
                <c:pt idx="3">
                  <c:v>Shtator 2015</c:v>
                </c:pt>
                <c:pt idx="4">
                  <c:v>Dhjetor 2015</c:v>
                </c:pt>
              </c:strCache>
            </c:strRef>
          </c:cat>
          <c:val>
            <c:numRef>
              <c:f>'\Users\librahimi.DIA\AppData\Local\Microsoft\Windows\Temporary Internet Files\Content.Outlook\235VVSK5\[Copy of grafiket per raportin vjetor 2015-sent_blerta.xlsx]Graf 3'!$E$4:$E$8</c:f>
              <c:numCache>
                <c:formatCode>General</c:formatCode>
                <c:ptCount val="5"/>
                <c:pt idx="0">
                  <c:v>1.8598046671663089</c:v>
                </c:pt>
                <c:pt idx="1">
                  <c:v>0.49445623839463626</c:v>
                </c:pt>
                <c:pt idx="2">
                  <c:v>-0.1900425366742842</c:v>
                </c:pt>
                <c:pt idx="3">
                  <c:v>0.91398210883490938</c:v>
                </c:pt>
                <c:pt idx="4">
                  <c:v>0.94749305308765552</c:v>
                </c:pt>
              </c:numCache>
            </c:numRef>
          </c:val>
          <c:smooth val="0"/>
        </c:ser>
        <c:ser>
          <c:idx val="3"/>
          <c:order val="3"/>
          <c:tx>
            <c:strRef>
              <c:f>'\Users\librahimi.DIA\AppData\Local\Microsoft\Windows\Temporary Internet Files\Content.Outlook\235VVSK5\[Copy of grafiket per raportin vjetor 2015-sent_blerta.xlsx]Graf 3'!$F$3</c:f>
              <c:strCache>
                <c:ptCount val="1"/>
                <c:pt idx="0">
                  <c:v>Ndryshimi tremujor i depozitave të individëve (boshti djathtas)</c:v>
                </c:pt>
              </c:strCache>
            </c:strRef>
          </c:tx>
          <c:spPr>
            <a:ln w="31750" cap="rnd">
              <a:solidFill>
                <a:schemeClr val="tx1">
                  <a:lumMod val="75000"/>
                  <a:lumOff val="25000"/>
                </a:schemeClr>
              </a:solidFill>
              <a:round/>
            </a:ln>
            <a:effectLst/>
          </c:spPr>
          <c:marker>
            <c:symbol val="circle"/>
            <c:size val="5"/>
            <c:spPr>
              <a:solidFill>
                <a:srgbClr val="FF0000"/>
              </a:solidFill>
              <a:ln w="9525">
                <a:noFill/>
              </a:ln>
              <a:effectLst/>
            </c:spPr>
          </c:marker>
          <c:cat>
            <c:strRef>
              <c:f>'\Users\librahimi.DIA\AppData\Local\Microsoft\Windows\Temporary Internet Files\Content.Outlook\235VVSK5\[Copy of grafiket per raportin vjetor 2015-sent_blerta.xlsx]Graf 3'!$B$4:$B$8</c:f>
              <c:strCache>
                <c:ptCount val="5"/>
                <c:pt idx="0">
                  <c:v>Dhjetor 2014</c:v>
                </c:pt>
                <c:pt idx="1">
                  <c:v>Mars 2015</c:v>
                </c:pt>
                <c:pt idx="2">
                  <c:v>Qershor 2015</c:v>
                </c:pt>
                <c:pt idx="3">
                  <c:v>Shtator 2015</c:v>
                </c:pt>
                <c:pt idx="4">
                  <c:v>Dhjetor 2015</c:v>
                </c:pt>
              </c:strCache>
            </c:strRef>
          </c:cat>
          <c:val>
            <c:numRef>
              <c:f>'\Users\librahimi.DIA\AppData\Local\Microsoft\Windows\Temporary Internet Files\Content.Outlook\235VVSK5\[Copy of grafiket per raportin vjetor 2015-sent_blerta.xlsx]Graf 3'!$F$4:$F$8</c:f>
              <c:numCache>
                <c:formatCode>General</c:formatCode>
                <c:ptCount val="5"/>
                <c:pt idx="0">
                  <c:v>2.3119940142799944</c:v>
                </c:pt>
                <c:pt idx="1">
                  <c:v>0.78736412811877254</c:v>
                </c:pt>
                <c:pt idx="2">
                  <c:v>0.52737506287643399</c:v>
                </c:pt>
                <c:pt idx="3">
                  <c:v>-0.78583046304214754</c:v>
                </c:pt>
                <c:pt idx="4">
                  <c:v>1.7649393227137544</c:v>
                </c:pt>
              </c:numCache>
            </c:numRef>
          </c:val>
          <c:smooth val="0"/>
        </c:ser>
        <c:dLbls>
          <c:showLegendKey val="0"/>
          <c:showVal val="0"/>
          <c:showCatName val="0"/>
          <c:showSerName val="0"/>
          <c:showPercent val="0"/>
          <c:showBubbleSize val="0"/>
        </c:dLbls>
        <c:marker val="1"/>
        <c:smooth val="0"/>
        <c:axId val="538927160"/>
        <c:axId val="538938528"/>
      </c:lineChart>
      <c:catAx>
        <c:axId val="538933824"/>
        <c:scaling>
          <c:orientation val="minMax"/>
        </c:scaling>
        <c:delete val="0"/>
        <c:axPos val="b"/>
        <c:numFmt formatCode="General"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538938136"/>
        <c:crosses val="autoZero"/>
        <c:auto val="1"/>
        <c:lblAlgn val="ctr"/>
        <c:lblOffset val="100"/>
        <c:tickLblSkip val="1"/>
        <c:noMultiLvlLbl val="0"/>
      </c:catAx>
      <c:valAx>
        <c:axId val="538938136"/>
        <c:scaling>
          <c:orientation val="minMax"/>
          <c:min val="-400"/>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r>
                  <a:rPr lang="en-US" sz="900"/>
                  <a:t>vlerat në mld lekë</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538933824"/>
        <c:crosses val="autoZero"/>
        <c:crossBetween val="between"/>
      </c:valAx>
      <c:valAx>
        <c:axId val="538938528"/>
        <c:scaling>
          <c:orientation val="minMax"/>
          <c:max val="3"/>
          <c:min val="-1"/>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r>
                  <a:rPr lang="en-US" sz="900"/>
                  <a:t>ndryshimi tremujor ne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538927160"/>
        <c:crosses val="max"/>
        <c:crossBetween val="between"/>
        <c:majorUnit val="1"/>
      </c:valAx>
      <c:catAx>
        <c:axId val="538927160"/>
        <c:scaling>
          <c:orientation val="minMax"/>
        </c:scaling>
        <c:delete val="1"/>
        <c:axPos val="b"/>
        <c:numFmt formatCode="General" sourceLinked="1"/>
        <c:majorTickMark val="none"/>
        <c:minorTickMark val="none"/>
        <c:tickLblPos val="nextTo"/>
        <c:crossAx val="538938528"/>
        <c:crossesAt val="0"/>
        <c:auto val="1"/>
        <c:lblAlgn val="ctr"/>
        <c:lblOffset val="100"/>
        <c:noMultiLvlLbl val="0"/>
      </c:catAx>
      <c:spPr>
        <a:noFill/>
        <a:ln>
          <a:noFill/>
        </a:ln>
        <a:effectLst/>
      </c:spPr>
    </c:plotArea>
    <c:legend>
      <c:legendPos val="b"/>
      <c:layout>
        <c:manualLayout>
          <c:xMode val="edge"/>
          <c:yMode val="edge"/>
          <c:x val="0.7099336823978325"/>
          <c:y val="0.1957995269602707"/>
          <c:w val="0.27247667256705937"/>
          <c:h val="0.458751534385197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Perpetua" panose="02020502060401020303"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20407577344542"/>
          <c:y val="0.13217191445079343"/>
          <c:w val="0.49156401027184243"/>
          <c:h val="0.8652321122089357"/>
        </c:manualLayout>
      </c:layout>
      <c:doughnutChart>
        <c:varyColors val="1"/>
        <c:ser>
          <c:idx val="0"/>
          <c:order val="0"/>
          <c:tx>
            <c:strRef>
              <c:f>'sipas monedhave 1'!$J$5</c:f>
              <c:strCache>
                <c:ptCount val="1"/>
                <c:pt idx="0">
                  <c:v>numri ne %</c:v>
                </c:pt>
              </c:strCache>
            </c:strRef>
          </c:tx>
          <c:dPt>
            <c:idx val="0"/>
            <c:bubble3D val="0"/>
            <c:spPr>
              <a:solidFill>
                <a:srgbClr val="C00000"/>
              </a:solidFill>
              <a:ln w="19050">
                <a:solidFill>
                  <a:schemeClr val="lt1"/>
                </a:solidFill>
              </a:ln>
              <a:effectLst/>
            </c:spPr>
          </c:dPt>
          <c:dPt>
            <c:idx val="1"/>
            <c:bubble3D val="0"/>
            <c:spPr>
              <a:solidFill>
                <a:schemeClr val="tx1">
                  <a:lumMod val="85000"/>
                  <a:lumOff val="15000"/>
                </a:schemeClr>
              </a:solidFill>
              <a:ln w="19050">
                <a:solidFill>
                  <a:schemeClr val="lt1"/>
                </a:solidFill>
              </a:ln>
              <a:effectLst/>
            </c:spPr>
          </c:dPt>
          <c:dPt>
            <c:idx val="2"/>
            <c:bubble3D val="0"/>
            <c:spPr>
              <a:solidFill>
                <a:schemeClr val="bg1">
                  <a:lumMod val="50000"/>
                </a:schemeClr>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bg2">
                  <a:lumMod val="10000"/>
                </a:schemeClr>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2.747885680956436E-3"/>
                  <c:y val="-4.0347411119064681E-2"/>
                </c:manualLayout>
              </c:layout>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10185185185185187"/>
                  <c:y val="4.8484848484848485E-2"/>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Perpetua" panose="0202050206040102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2"/>
              <c:layout>
                <c:manualLayout>
                  <c:x val="1.8358121901428427E-3"/>
                  <c:y val="-1.8334526366022437E-3"/>
                </c:manualLayout>
              </c:layout>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3"/>
              <c:layout>
                <c:manualLayout>
                  <c:x val="-0.1597098279381744"/>
                  <c:y val="-0.12616082080649016"/>
                </c:manualLayout>
              </c:layout>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Perpetua" panose="02020502060401020303" pitchFamily="18" charset="0"/>
                        <a:ea typeface="+mn-ea"/>
                        <a:cs typeface="+mn-cs"/>
                      </a:defRPr>
                    </a:pPr>
                    <a:fld id="{5C4A33B5-F95B-4D84-A078-ADF208C456F7}" type="CATEGORYNAME">
                      <a:rPr lang="en-US" sz="1100"/>
                      <a:pPr>
                        <a:defRPr sz="1100" b="0" i="0" u="none" strike="noStrike" kern="1200" baseline="0">
                          <a:solidFill>
                            <a:schemeClr val="tx1">
                              <a:lumMod val="75000"/>
                              <a:lumOff val="25000"/>
                            </a:schemeClr>
                          </a:solidFill>
                          <a:latin typeface="Perpetua" panose="02020502060401020303" pitchFamily="18" charset="0"/>
                          <a:ea typeface="+mn-ea"/>
                          <a:cs typeface="+mn-cs"/>
                        </a:defRPr>
                      </a:pPr>
                      <a:t>[CATEGORY NAME]</a:t>
                    </a:fld>
                    <a:r>
                      <a:rPr lang="en-US" sz="1100" baseline="0"/>
                      <a:t>
0,1%</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2.7261852227958351E-3"/>
                  <c:y val="-0.16623812206502478"/>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Perpetua" panose="0202050206040102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5"/>
              <c:layout>
                <c:manualLayout>
                  <c:x val="0.14393676484883838"/>
                  <c:y val="-0.14338439513242676"/>
                </c:manualLayout>
              </c:layout>
              <c:tx>
                <c:rich>
                  <a:bodyPr rot="0" spcFirstLastPara="1" vertOverflow="ellipsis" vert="horz" wrap="square" anchor="ctr" anchorCtr="1"/>
                  <a:lstStyle/>
                  <a:p>
                    <a:pPr>
                      <a:defRPr sz="1100" b="0" i="0" u="none" strike="noStrike" kern="1200" baseline="0">
                        <a:solidFill>
                          <a:schemeClr val="tx1">
                            <a:lumMod val="75000"/>
                            <a:lumOff val="25000"/>
                          </a:schemeClr>
                        </a:solidFill>
                        <a:latin typeface="Perpetua" panose="02020502060401020303" pitchFamily="18" charset="0"/>
                        <a:ea typeface="+mn-ea"/>
                        <a:cs typeface="+mn-cs"/>
                      </a:defRPr>
                    </a:pPr>
                    <a:fld id="{87987E09-CA97-47AD-9FB0-E82CABDF1F4A}" type="CATEGORYNAME">
                      <a:rPr lang="en-US" sz="1100"/>
                      <a:pPr>
                        <a:defRPr sz="1100" b="0" i="0" u="none" strike="noStrike" kern="1200" baseline="0">
                          <a:solidFill>
                            <a:schemeClr val="tx1">
                              <a:lumMod val="75000"/>
                              <a:lumOff val="25000"/>
                            </a:schemeClr>
                          </a:solidFill>
                          <a:latin typeface="Perpetua" panose="02020502060401020303" pitchFamily="18" charset="0"/>
                          <a:ea typeface="+mn-ea"/>
                          <a:cs typeface="+mn-cs"/>
                        </a:defRPr>
                      </a:pPr>
                      <a:t>[CATEGORY NAME]</a:t>
                    </a:fld>
                    <a:r>
                      <a:rPr lang="en-US" sz="1100" baseline="0"/>
                      <a:t>
0,1%</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Perpetua" panose="0202050206040102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'sipas monedhave 1'!$I$6:$I$11</c:f>
              <c:strCache>
                <c:ptCount val="6"/>
                <c:pt idx="0">
                  <c:v>ALL</c:v>
                </c:pt>
                <c:pt idx="1">
                  <c:v>USD</c:v>
                </c:pt>
                <c:pt idx="2">
                  <c:v>EUR</c:v>
                </c:pt>
                <c:pt idx="3">
                  <c:v>CHF</c:v>
                </c:pt>
                <c:pt idx="4">
                  <c:v>GBP</c:v>
                </c:pt>
                <c:pt idx="5">
                  <c:v>CAD</c:v>
                </c:pt>
              </c:strCache>
            </c:strRef>
          </c:cat>
          <c:val>
            <c:numRef>
              <c:f>'sipas monedhave 1'!$J$6:$J$11</c:f>
              <c:numCache>
                <c:formatCode>0.0</c:formatCode>
                <c:ptCount val="6"/>
                <c:pt idx="0">
                  <c:v>72.530927496759588</c:v>
                </c:pt>
                <c:pt idx="1">
                  <c:v>3.9885464349975663</c:v>
                </c:pt>
                <c:pt idx="2">
                  <c:v>22.166927813964683</c:v>
                </c:pt>
                <c:pt idx="3">
                  <c:v>9.3623357233096588E-2</c:v>
                </c:pt>
                <c:pt idx="4">
                  <c:v>1.0869401740252784</c:v>
                </c:pt>
                <c:pt idx="5">
                  <c:v>0.13303472301979252</c:v>
                </c:pt>
              </c:numCache>
            </c:numRef>
          </c:val>
        </c:ser>
        <c:dLbls>
          <c:showLegendKey val="0"/>
          <c:showVal val="0"/>
          <c:showCatName val="0"/>
          <c:showSerName val="0"/>
          <c:showPercent val="0"/>
          <c:showBubbleSize val="0"/>
          <c:showLeaderLines val="1"/>
        </c:dLbls>
        <c:firstSliceAng val="0"/>
        <c:holeSize val="47"/>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50">
          <a:latin typeface="Perpetua" panose="02020502060401020303"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94444444444442"/>
          <c:y val="0.11059711286089238"/>
          <c:w val="0.51399431321084865"/>
          <c:h val="0.88619709174284222"/>
        </c:manualLayout>
      </c:layout>
      <c:doughnutChart>
        <c:varyColors val="1"/>
        <c:ser>
          <c:idx val="0"/>
          <c:order val="0"/>
          <c:tx>
            <c:strRef>
              <c:f>'sipas monedhave 1'!$J$16</c:f>
              <c:strCache>
                <c:ptCount val="1"/>
                <c:pt idx="0">
                  <c:v>shuma ne %</c:v>
                </c:pt>
              </c:strCache>
            </c:strRef>
          </c:tx>
          <c:dPt>
            <c:idx val="0"/>
            <c:bubble3D val="0"/>
            <c:spPr>
              <a:solidFill>
                <a:srgbClr val="C00000"/>
              </a:solidFill>
              <a:ln w="19050">
                <a:solidFill>
                  <a:schemeClr val="lt1"/>
                </a:solidFill>
              </a:ln>
              <a:effectLst/>
            </c:spPr>
          </c:dPt>
          <c:dPt>
            <c:idx val="1"/>
            <c:bubble3D val="0"/>
            <c:spPr>
              <a:solidFill>
                <a:schemeClr val="tx1">
                  <a:lumMod val="85000"/>
                  <a:lumOff val="15000"/>
                </a:schemeClr>
              </a:solidFill>
              <a:ln w="19050">
                <a:solidFill>
                  <a:schemeClr val="lt1"/>
                </a:solidFill>
              </a:ln>
              <a:effectLst/>
            </c:spPr>
          </c:dPt>
          <c:dPt>
            <c:idx val="2"/>
            <c:bubble3D val="0"/>
            <c:spPr>
              <a:solidFill>
                <a:schemeClr val="bg1">
                  <a:lumMod val="50000"/>
                </a:schemeClr>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bg2">
                  <a:lumMod val="10000"/>
                </a:schemeClr>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6.4020122484689411E-4"/>
                  <c:y val="6.4835430054001927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Perpetua" panose="02020502060401020303" pitchFamily="18" charset="0"/>
                        <a:ea typeface="+mn-ea"/>
                        <a:cs typeface="+mn-cs"/>
                      </a:defRPr>
                    </a:pPr>
                    <a:fld id="{59D773B3-7DD6-4C95-9922-31BF07F07E08}" type="CATEGORYNAME">
                      <a:rPr lang="en-US" sz="1100" b="0">
                        <a:solidFill>
                          <a:schemeClr val="bg1"/>
                        </a:solidFill>
                        <a:latin typeface="Perpetua" panose="02020502060401020303" pitchFamily="18" charset="0"/>
                      </a:rPr>
                      <a:pPr>
                        <a:defRPr sz="1100" b="0" i="0" u="none" strike="noStrike" kern="1200" baseline="0">
                          <a:solidFill>
                            <a:schemeClr val="bg1"/>
                          </a:solidFill>
                          <a:latin typeface="Perpetua" panose="02020502060401020303" pitchFamily="18" charset="0"/>
                          <a:ea typeface="+mn-ea"/>
                          <a:cs typeface="+mn-cs"/>
                        </a:defRPr>
                      </a:pPr>
                      <a:t>[CATEGORY NAME]</a:t>
                    </a:fld>
                    <a:r>
                      <a:rPr lang="en-US" sz="1100" b="0">
                        <a:solidFill>
                          <a:schemeClr val="bg1"/>
                        </a:solidFill>
                        <a:latin typeface="Perpetua" panose="02020502060401020303" pitchFamily="18" charset="0"/>
                      </a:rPr>
                      <a:t>
</a:t>
                    </a:r>
                    <a:fld id="{B7C0EB7C-EBDB-4370-9B7E-E68116958309}" type="PERCENTAGE">
                      <a:rPr lang="en-US" sz="1100" b="0">
                        <a:solidFill>
                          <a:schemeClr val="bg1"/>
                        </a:solidFill>
                        <a:latin typeface="Perpetua" panose="02020502060401020303" pitchFamily="18" charset="0"/>
                      </a:rPr>
                      <a:pPr>
                        <a:defRPr sz="1100" b="0" i="0" u="none" strike="noStrike" kern="1200" baseline="0">
                          <a:solidFill>
                            <a:schemeClr val="bg1"/>
                          </a:solidFill>
                          <a:latin typeface="Perpetua" panose="02020502060401020303" pitchFamily="18" charset="0"/>
                          <a:ea typeface="+mn-ea"/>
                          <a:cs typeface="+mn-cs"/>
                        </a:defRPr>
                      </a:pPr>
                      <a:t>[PERCENTAGE]</a:t>
                    </a:fld>
                    <a:endParaRPr lang="en-US" sz="1100" b="0">
                      <a:solidFill>
                        <a:schemeClr val="bg1"/>
                      </a:solidFill>
                      <a:latin typeface="Perpetua" panose="02020502060401020303" pitchFamily="18" charset="0"/>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16666666666666669"/>
                  <c:y val="6.1748046580384325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6944444444444491E-3"/>
                  <c:y val="1.06608441186230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3"/>
              <c:layout>
                <c:manualLayout>
                  <c:x val="-0.12777777777777777"/>
                  <c:y val="-0.11494252873563221"/>
                </c:manualLayout>
              </c:layout>
              <c:tx>
                <c:rich>
                  <a:bodyPr/>
                  <a:lstStyle/>
                  <a:p>
                    <a:fld id="{FB7D0C12-0BCA-445A-B04D-E8EFEB777172}" type="CATEGORYNAME">
                      <a:rPr lang="en-US"/>
                      <a:pPr/>
                      <a:t>[CATEGORY NAME]</a:t>
                    </a:fld>
                    <a:r>
                      <a:rPr lang="en-US" baseline="0"/>
                      <a:t>
0,1%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2.7777777777777809E-3"/>
                  <c:y val="-0.15804597701149437"/>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6562401574803143"/>
                  <c:y val="-0.14823739704950681"/>
                </c:manualLayout>
              </c:layout>
              <c:tx>
                <c:rich>
                  <a:bodyPr/>
                  <a:lstStyle/>
                  <a:p>
                    <a:fld id="{1A0A1BB2-A71C-40DE-B280-5234C4876E29}" type="CATEGORYNAME">
                      <a:rPr lang="en-US"/>
                      <a:pPr/>
                      <a:t>[CATEGORY NAME]</a:t>
                    </a:fld>
                    <a:r>
                      <a:rPr lang="en-US" baseline="0"/>
                      <a:t>
0,2%</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'sipas monedhave 1'!$I$17:$I$22</c:f>
              <c:strCache>
                <c:ptCount val="6"/>
                <c:pt idx="0">
                  <c:v>ALL</c:v>
                </c:pt>
                <c:pt idx="1">
                  <c:v>USD</c:v>
                </c:pt>
                <c:pt idx="2">
                  <c:v>EUR</c:v>
                </c:pt>
                <c:pt idx="3">
                  <c:v>CHF</c:v>
                </c:pt>
                <c:pt idx="4">
                  <c:v>GBP</c:v>
                </c:pt>
                <c:pt idx="5">
                  <c:v>CAD</c:v>
                </c:pt>
              </c:strCache>
            </c:strRef>
          </c:cat>
          <c:val>
            <c:numRef>
              <c:f>'sipas monedhave 1'!$J$17:$J$22</c:f>
              <c:numCache>
                <c:formatCode>0.0</c:formatCode>
                <c:ptCount val="6"/>
                <c:pt idx="0">
                  <c:v>50.991727626731787</c:v>
                </c:pt>
                <c:pt idx="1">
                  <c:v>5.3893631390904835</c:v>
                </c:pt>
                <c:pt idx="2">
                  <c:v>42.211089697588399</c:v>
                </c:pt>
                <c:pt idx="3">
                  <c:v>5.0901980025246346E-2</c:v>
                </c:pt>
                <c:pt idx="4">
                  <c:v>1.2044443673416898</c:v>
                </c:pt>
                <c:pt idx="5">
                  <c:v>0.15247318922237274</c:v>
                </c:pt>
              </c:numCache>
            </c:numRef>
          </c:val>
        </c:ser>
        <c:dLbls>
          <c:showLegendKey val="0"/>
          <c:showVal val="0"/>
          <c:showCatName val="0"/>
          <c:showSerName val="0"/>
          <c:showPercent val="0"/>
          <c:showBubbleSize val="0"/>
          <c:showLeaderLines val="1"/>
        </c:dLbls>
        <c:firstSliceAng val="0"/>
        <c:holeSize val="47"/>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A6CFF-5D72-4AF5-9036-5E4750CE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41</Pages>
  <Words>8574</Words>
  <Characters>48878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Blushi</dc:creator>
  <cp:keywords/>
  <dc:description/>
  <cp:lastModifiedBy>Martin Blushi</cp:lastModifiedBy>
  <cp:revision>10</cp:revision>
  <cp:lastPrinted>2017-07-14T12:00:00Z</cp:lastPrinted>
  <dcterms:created xsi:type="dcterms:W3CDTF">2017-07-04T10:06:00Z</dcterms:created>
  <dcterms:modified xsi:type="dcterms:W3CDTF">2017-07-14T12:05:00Z</dcterms:modified>
</cp:coreProperties>
</file>